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27A328" w14:textId="77777777" w:rsidR="00164BA1" w:rsidRPr="00DE0A30" w:rsidRDefault="00164BA1" w:rsidP="00DE0A30">
      <w:pPr>
        <w:spacing w:after="0" w:line="240" w:lineRule="auto"/>
        <w:jc w:val="both"/>
        <w:rPr>
          <w:rFonts w:ascii="Verdana" w:eastAsia="Times New Roman" w:hAnsi="Verdana"/>
          <w:b/>
          <w:bCs/>
          <w:color w:val="000000" w:themeColor="text1"/>
          <w:sz w:val="28"/>
          <w:szCs w:val="28"/>
          <w:lang w:val="en-GB"/>
        </w:rPr>
      </w:pPr>
    </w:p>
    <w:p w14:paraId="40F54E52" w14:textId="15F89770" w:rsidR="00DE0A30" w:rsidRPr="00297F18" w:rsidRDefault="00F040A0" w:rsidP="00F040A0">
      <w:pPr>
        <w:spacing w:after="0" w:line="240" w:lineRule="auto"/>
        <w:jc w:val="both"/>
        <w:rPr>
          <w:rFonts w:ascii="Verdana" w:hAnsi="Verdana"/>
          <w:sz w:val="28"/>
          <w:szCs w:val="28"/>
          <w:lang w:val="es-ES_tradnl"/>
        </w:rPr>
      </w:pPr>
      <w:proofErr w:type="spellStart"/>
      <w:r w:rsidRPr="00F040A0">
        <w:rPr>
          <w:rFonts w:ascii="Verdana" w:hAnsi="Verdana"/>
          <w:b/>
          <w:sz w:val="28"/>
          <w:szCs w:val="28"/>
          <w:lang w:val="es-ES_tradnl"/>
        </w:rPr>
        <w:t>Globalização</w:t>
      </w:r>
      <w:proofErr w:type="spellEnd"/>
      <w:r w:rsidRPr="00F040A0">
        <w:rPr>
          <w:rFonts w:ascii="Verdana" w:hAnsi="Verdana"/>
          <w:b/>
          <w:sz w:val="28"/>
          <w:szCs w:val="28"/>
          <w:lang w:val="es-ES_tradnl"/>
        </w:rPr>
        <w:t xml:space="preserve">, </w:t>
      </w:r>
      <w:proofErr w:type="spellStart"/>
      <w:r w:rsidRPr="00F040A0">
        <w:rPr>
          <w:rFonts w:ascii="Verdana" w:hAnsi="Verdana"/>
          <w:b/>
          <w:sz w:val="28"/>
          <w:szCs w:val="28"/>
          <w:lang w:val="es-ES_tradnl"/>
        </w:rPr>
        <w:t>crise</w:t>
      </w:r>
      <w:proofErr w:type="spellEnd"/>
      <w:r w:rsidRPr="00F040A0">
        <w:rPr>
          <w:rFonts w:ascii="Verdana" w:hAnsi="Verdana"/>
          <w:b/>
          <w:sz w:val="28"/>
          <w:szCs w:val="28"/>
          <w:lang w:val="es-ES_tradnl"/>
        </w:rPr>
        <w:t xml:space="preserve"> do </w:t>
      </w:r>
      <w:r>
        <w:rPr>
          <w:rFonts w:ascii="Verdana" w:hAnsi="Verdana"/>
          <w:b/>
          <w:sz w:val="28"/>
          <w:szCs w:val="28"/>
          <w:lang w:val="es-ES_tradnl"/>
        </w:rPr>
        <w:t>E</w:t>
      </w:r>
      <w:r w:rsidRPr="00F040A0">
        <w:rPr>
          <w:rFonts w:ascii="Verdana" w:hAnsi="Verdana"/>
          <w:b/>
          <w:sz w:val="28"/>
          <w:szCs w:val="28"/>
          <w:lang w:val="es-ES_tradnl"/>
        </w:rPr>
        <w:t xml:space="preserve">stado e o protagonismo de atores privados como </w:t>
      </w:r>
      <w:proofErr w:type="spellStart"/>
      <w:r w:rsidRPr="00F040A0">
        <w:rPr>
          <w:rFonts w:ascii="Verdana" w:hAnsi="Verdana"/>
          <w:b/>
          <w:sz w:val="28"/>
          <w:szCs w:val="28"/>
          <w:lang w:val="es-ES_tradnl"/>
        </w:rPr>
        <w:t>ameaça</w:t>
      </w:r>
      <w:proofErr w:type="spellEnd"/>
      <w:r w:rsidRPr="00F040A0">
        <w:rPr>
          <w:rFonts w:ascii="Verdana" w:hAnsi="Verdana"/>
          <w:b/>
          <w:sz w:val="28"/>
          <w:szCs w:val="28"/>
          <w:lang w:val="es-ES_tradnl"/>
        </w:rPr>
        <w:t xml:space="preserve"> à democracia</w:t>
      </w:r>
    </w:p>
    <w:p w14:paraId="3880C77E" w14:textId="77777777" w:rsidR="006E67B4" w:rsidRDefault="006E67B4" w:rsidP="00DE0A30">
      <w:pPr>
        <w:spacing w:after="0" w:line="240" w:lineRule="auto"/>
        <w:jc w:val="both"/>
        <w:rPr>
          <w:rFonts w:ascii="Verdana" w:hAnsi="Verdana"/>
          <w:sz w:val="28"/>
          <w:szCs w:val="28"/>
          <w:lang w:val="es-ES_tradnl"/>
        </w:rPr>
      </w:pPr>
    </w:p>
    <w:p w14:paraId="75D05016" w14:textId="021868B9" w:rsidR="00C44E1B" w:rsidRPr="00297F18" w:rsidRDefault="006E67B4" w:rsidP="00DE0A30">
      <w:pPr>
        <w:spacing w:after="0" w:line="240" w:lineRule="auto"/>
        <w:jc w:val="both"/>
        <w:rPr>
          <w:rFonts w:ascii="Verdana" w:hAnsi="Verdana"/>
          <w:b/>
          <w:sz w:val="20"/>
          <w:szCs w:val="20"/>
          <w:lang w:val="es-ES_tradnl"/>
        </w:rPr>
      </w:pPr>
      <w:proofErr w:type="spellStart"/>
      <w:r w:rsidRPr="006E67B4">
        <w:rPr>
          <w:rFonts w:ascii="Verdana" w:hAnsi="Verdana"/>
          <w:sz w:val="28"/>
          <w:szCs w:val="28"/>
          <w:lang w:val="es-ES_tradnl"/>
        </w:rPr>
        <w:t>Globalization</w:t>
      </w:r>
      <w:proofErr w:type="spellEnd"/>
      <w:r w:rsidRPr="006E67B4">
        <w:rPr>
          <w:rFonts w:ascii="Verdana" w:hAnsi="Verdana"/>
          <w:sz w:val="28"/>
          <w:szCs w:val="28"/>
          <w:lang w:val="es-ES_tradnl"/>
        </w:rPr>
        <w:t xml:space="preserve">, crisis of </w:t>
      </w:r>
      <w:proofErr w:type="spellStart"/>
      <w:r w:rsidRPr="006E67B4">
        <w:rPr>
          <w:rFonts w:ascii="Verdana" w:hAnsi="Verdana"/>
          <w:sz w:val="28"/>
          <w:szCs w:val="28"/>
          <w:lang w:val="es-ES_tradnl"/>
        </w:rPr>
        <w:t>State</w:t>
      </w:r>
      <w:proofErr w:type="spellEnd"/>
      <w:r w:rsidRPr="006E67B4">
        <w:rPr>
          <w:rFonts w:ascii="Verdana" w:hAnsi="Verdana"/>
          <w:sz w:val="28"/>
          <w:szCs w:val="28"/>
          <w:lang w:val="es-ES_tradnl"/>
        </w:rPr>
        <w:t xml:space="preserve"> and </w:t>
      </w:r>
      <w:proofErr w:type="spellStart"/>
      <w:r w:rsidRPr="006E67B4">
        <w:rPr>
          <w:rFonts w:ascii="Verdana" w:hAnsi="Verdana"/>
          <w:sz w:val="28"/>
          <w:szCs w:val="28"/>
          <w:lang w:val="es-ES_tradnl"/>
        </w:rPr>
        <w:t>protagonism</w:t>
      </w:r>
      <w:proofErr w:type="spellEnd"/>
      <w:r w:rsidRPr="006E67B4">
        <w:rPr>
          <w:rFonts w:ascii="Verdana" w:hAnsi="Verdana"/>
          <w:sz w:val="28"/>
          <w:szCs w:val="28"/>
          <w:lang w:val="es-ES_tradnl"/>
        </w:rPr>
        <w:t xml:space="preserve"> of </w:t>
      </w:r>
      <w:proofErr w:type="spellStart"/>
      <w:r w:rsidRPr="006E67B4">
        <w:rPr>
          <w:rFonts w:ascii="Verdana" w:hAnsi="Verdana"/>
          <w:sz w:val="28"/>
          <w:szCs w:val="28"/>
          <w:lang w:val="es-ES_tradnl"/>
        </w:rPr>
        <w:t>private</w:t>
      </w:r>
      <w:proofErr w:type="spellEnd"/>
      <w:r w:rsidRPr="006E67B4">
        <w:rPr>
          <w:rFonts w:ascii="Verdana" w:hAnsi="Verdana"/>
          <w:sz w:val="28"/>
          <w:szCs w:val="28"/>
          <w:lang w:val="es-ES_tradnl"/>
        </w:rPr>
        <w:t xml:space="preserve"> </w:t>
      </w:r>
      <w:proofErr w:type="spellStart"/>
      <w:r w:rsidRPr="006E67B4">
        <w:rPr>
          <w:rFonts w:ascii="Verdana" w:hAnsi="Verdana"/>
          <w:sz w:val="28"/>
          <w:szCs w:val="28"/>
          <w:lang w:val="es-ES_tradnl"/>
        </w:rPr>
        <w:t>actors</w:t>
      </w:r>
      <w:proofErr w:type="spellEnd"/>
      <w:r w:rsidRPr="006E67B4">
        <w:rPr>
          <w:rFonts w:ascii="Verdana" w:hAnsi="Verdana"/>
          <w:sz w:val="28"/>
          <w:szCs w:val="28"/>
          <w:lang w:val="es-ES_tradnl"/>
        </w:rPr>
        <w:t xml:space="preserve"> as a </w:t>
      </w:r>
      <w:proofErr w:type="spellStart"/>
      <w:r w:rsidRPr="006E67B4">
        <w:rPr>
          <w:rFonts w:ascii="Verdana" w:hAnsi="Verdana"/>
          <w:sz w:val="28"/>
          <w:szCs w:val="28"/>
          <w:lang w:val="es-ES_tradnl"/>
        </w:rPr>
        <w:t>threat</w:t>
      </w:r>
      <w:proofErr w:type="spellEnd"/>
      <w:r w:rsidRPr="006E67B4">
        <w:rPr>
          <w:rFonts w:ascii="Verdana" w:hAnsi="Verdana"/>
          <w:sz w:val="28"/>
          <w:szCs w:val="28"/>
          <w:lang w:val="es-ES_tradnl"/>
        </w:rPr>
        <w:t xml:space="preserve"> to </w:t>
      </w:r>
      <w:proofErr w:type="spellStart"/>
      <w:r w:rsidRPr="006E67B4">
        <w:rPr>
          <w:rFonts w:ascii="Verdana" w:hAnsi="Verdana"/>
          <w:sz w:val="28"/>
          <w:szCs w:val="28"/>
          <w:lang w:val="es-ES_tradnl"/>
        </w:rPr>
        <w:t>democracy</w:t>
      </w:r>
      <w:proofErr w:type="spellEnd"/>
    </w:p>
    <w:p w14:paraId="2923FCDE" w14:textId="77777777" w:rsidR="00C44E1B" w:rsidRPr="00297F18" w:rsidRDefault="00C44E1B" w:rsidP="00DE0A30">
      <w:pPr>
        <w:spacing w:after="0" w:line="240" w:lineRule="auto"/>
        <w:jc w:val="both"/>
        <w:rPr>
          <w:rFonts w:ascii="Verdana" w:hAnsi="Verdana"/>
          <w:b/>
          <w:sz w:val="20"/>
          <w:szCs w:val="20"/>
          <w:lang w:val="es-ES_tradnl"/>
        </w:rPr>
      </w:pPr>
    </w:p>
    <w:p w14:paraId="631E823B" w14:textId="147AD925" w:rsidR="00A50E6A" w:rsidRPr="00297F18" w:rsidRDefault="006E67B4" w:rsidP="00DE0A30">
      <w:pPr>
        <w:pStyle w:val="SemEspaamento"/>
        <w:jc w:val="both"/>
        <w:rPr>
          <w:rFonts w:ascii="Verdana" w:hAnsi="Verdana"/>
          <w:sz w:val="20"/>
          <w:szCs w:val="20"/>
          <w:lang w:val="es-ES_tradnl"/>
        </w:rPr>
      </w:pPr>
      <w:r>
        <w:rPr>
          <w:rFonts w:ascii="Verdana" w:hAnsi="Verdana"/>
          <w:b/>
          <w:sz w:val="20"/>
          <w:szCs w:val="20"/>
          <w:lang w:val="es-ES_tradnl"/>
        </w:rPr>
        <w:t>Tássia A. Gervasoni</w:t>
      </w:r>
      <w:r w:rsidR="00A50E6A" w:rsidRPr="00DE0A30">
        <w:rPr>
          <w:rStyle w:val="Refdenotaderodap"/>
          <w:rFonts w:ascii="Verdana" w:eastAsia="Verdana" w:hAnsi="Verdana" w:cs="Verdana"/>
          <w:bCs/>
          <w:iCs/>
          <w:sz w:val="20"/>
          <w:szCs w:val="20"/>
        </w:rPr>
        <w:footnoteReference w:id="1"/>
      </w:r>
    </w:p>
    <w:p w14:paraId="124F359F" w14:textId="61BE66C5" w:rsidR="00C44E1B" w:rsidRPr="00297F18" w:rsidRDefault="007D698A" w:rsidP="00DE0A30">
      <w:pPr>
        <w:pStyle w:val="SemEspaamento"/>
        <w:jc w:val="both"/>
        <w:rPr>
          <w:rFonts w:ascii="Verdana" w:hAnsi="Verdana"/>
          <w:sz w:val="20"/>
          <w:szCs w:val="20"/>
          <w:lang w:val="es-ES_tradnl"/>
        </w:rPr>
      </w:pPr>
      <w:proofErr w:type="spellStart"/>
      <w:r>
        <w:rPr>
          <w:rFonts w:ascii="Verdana" w:hAnsi="Verdana"/>
          <w:sz w:val="20"/>
          <w:szCs w:val="20"/>
          <w:lang w:val="es-ES_tradnl"/>
        </w:rPr>
        <w:t>Faculdade</w:t>
      </w:r>
      <w:proofErr w:type="spellEnd"/>
      <w:r>
        <w:rPr>
          <w:rFonts w:ascii="Verdana" w:hAnsi="Verdana"/>
          <w:sz w:val="20"/>
          <w:szCs w:val="20"/>
          <w:lang w:val="es-ES_tradnl"/>
        </w:rPr>
        <w:t xml:space="preserve"> Meridional - IMED </w:t>
      </w:r>
    </w:p>
    <w:p w14:paraId="35091351" w14:textId="77777777" w:rsidR="00E41624" w:rsidRDefault="00E41624" w:rsidP="00DE0A30">
      <w:pPr>
        <w:spacing w:after="0" w:line="240" w:lineRule="auto"/>
        <w:jc w:val="both"/>
        <w:rPr>
          <w:rFonts w:ascii="Verdana" w:hAnsi="Verdana"/>
          <w:sz w:val="20"/>
          <w:szCs w:val="20"/>
          <w:lang w:val="es-ES_tradnl"/>
        </w:rPr>
      </w:pPr>
    </w:p>
    <w:p w14:paraId="6ACF796F" w14:textId="4DE0BD12" w:rsidR="006E67B4" w:rsidRPr="00297F18" w:rsidRDefault="007D698A" w:rsidP="006E67B4">
      <w:pPr>
        <w:pStyle w:val="SemEspaamento"/>
        <w:jc w:val="both"/>
        <w:rPr>
          <w:rFonts w:ascii="Verdana" w:hAnsi="Verdana"/>
          <w:sz w:val="20"/>
          <w:szCs w:val="20"/>
          <w:lang w:val="es-ES_tradnl"/>
        </w:rPr>
      </w:pPr>
      <w:r w:rsidRPr="007D698A">
        <w:rPr>
          <w:rFonts w:ascii="Verdana" w:hAnsi="Verdana"/>
          <w:b/>
          <w:sz w:val="20"/>
          <w:szCs w:val="20"/>
          <w:lang w:val="es-ES_tradnl"/>
        </w:rPr>
        <w:t xml:space="preserve">Rafaela </w:t>
      </w:r>
      <w:proofErr w:type="spellStart"/>
      <w:r w:rsidRPr="007D698A">
        <w:rPr>
          <w:rFonts w:ascii="Verdana" w:hAnsi="Verdana"/>
          <w:b/>
          <w:sz w:val="20"/>
          <w:szCs w:val="20"/>
          <w:lang w:val="es-ES_tradnl"/>
        </w:rPr>
        <w:t>Rovani</w:t>
      </w:r>
      <w:proofErr w:type="spellEnd"/>
      <w:r w:rsidRPr="007D698A">
        <w:rPr>
          <w:rFonts w:ascii="Verdana" w:hAnsi="Verdana"/>
          <w:b/>
          <w:sz w:val="20"/>
          <w:szCs w:val="20"/>
          <w:lang w:val="es-ES_tradnl"/>
        </w:rPr>
        <w:t xml:space="preserve"> de </w:t>
      </w:r>
      <w:proofErr w:type="spellStart"/>
      <w:r w:rsidRPr="007D698A">
        <w:rPr>
          <w:rFonts w:ascii="Verdana" w:hAnsi="Verdana"/>
          <w:b/>
          <w:sz w:val="20"/>
          <w:szCs w:val="20"/>
          <w:lang w:val="es-ES_tradnl"/>
        </w:rPr>
        <w:t>Linhares</w:t>
      </w:r>
      <w:proofErr w:type="spellEnd"/>
      <w:r w:rsidR="006E67B4" w:rsidRPr="00DE0A30">
        <w:rPr>
          <w:rStyle w:val="Refdenotaderodap"/>
          <w:rFonts w:ascii="Verdana" w:eastAsia="Verdana" w:hAnsi="Verdana" w:cs="Verdana"/>
          <w:bCs/>
          <w:iCs/>
          <w:sz w:val="20"/>
          <w:szCs w:val="20"/>
        </w:rPr>
        <w:footnoteReference w:id="2"/>
      </w:r>
    </w:p>
    <w:p w14:paraId="51364B0A" w14:textId="2A123CA6" w:rsidR="007D698A" w:rsidRPr="00297F18" w:rsidRDefault="007D698A" w:rsidP="007D698A">
      <w:pPr>
        <w:pStyle w:val="SemEspaamento"/>
        <w:jc w:val="both"/>
        <w:rPr>
          <w:rFonts w:ascii="Verdana" w:hAnsi="Verdana"/>
          <w:sz w:val="20"/>
          <w:szCs w:val="20"/>
          <w:lang w:val="es-ES_tradnl"/>
        </w:rPr>
      </w:pPr>
      <w:proofErr w:type="spellStart"/>
      <w:r>
        <w:rPr>
          <w:rFonts w:ascii="Verdana" w:hAnsi="Verdana"/>
          <w:sz w:val="20"/>
          <w:szCs w:val="20"/>
          <w:lang w:val="es-ES_tradnl"/>
        </w:rPr>
        <w:t>Faculdade</w:t>
      </w:r>
      <w:proofErr w:type="spellEnd"/>
      <w:r>
        <w:rPr>
          <w:rFonts w:ascii="Verdana" w:hAnsi="Verdana"/>
          <w:sz w:val="20"/>
          <w:szCs w:val="20"/>
          <w:lang w:val="es-ES_tradnl"/>
        </w:rPr>
        <w:t xml:space="preserve"> Meridional - IMED </w:t>
      </w:r>
    </w:p>
    <w:p w14:paraId="589BC488" w14:textId="77777777" w:rsidR="006E67B4" w:rsidRPr="00297F18" w:rsidRDefault="006E67B4" w:rsidP="00DE0A30">
      <w:pPr>
        <w:spacing w:after="0" w:line="240" w:lineRule="auto"/>
        <w:jc w:val="both"/>
        <w:rPr>
          <w:rFonts w:ascii="Verdana" w:hAnsi="Verdana"/>
          <w:sz w:val="20"/>
          <w:szCs w:val="20"/>
          <w:lang w:val="es-ES_tradnl"/>
        </w:rPr>
      </w:pPr>
    </w:p>
    <w:p w14:paraId="06C5CAAA" w14:textId="77777777" w:rsidR="00E41624" w:rsidRPr="00297F18" w:rsidRDefault="00E41624" w:rsidP="00DE0A30">
      <w:pPr>
        <w:spacing w:after="0" w:line="240" w:lineRule="auto"/>
        <w:jc w:val="both"/>
        <w:rPr>
          <w:rFonts w:ascii="Verdana" w:hAnsi="Verdana"/>
          <w:sz w:val="20"/>
          <w:szCs w:val="20"/>
          <w:lang w:val="es-ES_tradnl"/>
        </w:rPr>
      </w:pPr>
    </w:p>
    <w:p w14:paraId="11EB5C47" w14:textId="303FF952" w:rsidR="00DE0A30" w:rsidRPr="00297F18" w:rsidRDefault="00C44E1B" w:rsidP="00DE0A30">
      <w:pPr>
        <w:spacing w:after="0" w:line="240" w:lineRule="auto"/>
        <w:jc w:val="both"/>
        <w:rPr>
          <w:rFonts w:ascii="Verdana" w:hAnsi="Verdana"/>
          <w:sz w:val="20"/>
          <w:szCs w:val="20"/>
          <w:lang w:val="es-ES_tradnl"/>
        </w:rPr>
      </w:pPr>
      <w:r w:rsidRPr="00297F18">
        <w:rPr>
          <w:rFonts w:ascii="Verdana" w:hAnsi="Verdana"/>
          <w:b/>
          <w:sz w:val="20"/>
          <w:szCs w:val="20"/>
          <w:lang w:val="es-ES_tradnl"/>
        </w:rPr>
        <w:t>Sum</w:t>
      </w:r>
      <w:r w:rsidR="00297F18" w:rsidRPr="00297F18">
        <w:rPr>
          <w:rFonts w:ascii="Verdana" w:hAnsi="Verdana"/>
          <w:b/>
          <w:sz w:val="20"/>
          <w:szCs w:val="20"/>
          <w:lang w:val="es-ES_tradnl"/>
        </w:rPr>
        <w:t>a</w:t>
      </w:r>
      <w:r w:rsidRPr="00297F18">
        <w:rPr>
          <w:rFonts w:ascii="Verdana" w:hAnsi="Verdana"/>
          <w:b/>
          <w:sz w:val="20"/>
          <w:szCs w:val="20"/>
          <w:lang w:val="es-ES_tradnl"/>
        </w:rPr>
        <w:t>rio</w:t>
      </w:r>
      <w:r w:rsidR="00F04D5E" w:rsidRPr="00297F18">
        <w:rPr>
          <w:rFonts w:ascii="Verdana" w:hAnsi="Verdana"/>
          <w:b/>
          <w:sz w:val="20"/>
          <w:szCs w:val="20"/>
          <w:lang w:val="es-ES_tradnl"/>
        </w:rPr>
        <w:t>:</w:t>
      </w:r>
      <w:r w:rsidR="00626D63" w:rsidRPr="00297F18">
        <w:rPr>
          <w:rFonts w:ascii="Verdana" w:hAnsi="Verdana"/>
          <w:b/>
          <w:sz w:val="20"/>
          <w:szCs w:val="20"/>
          <w:lang w:val="es-ES_tradnl"/>
        </w:rPr>
        <w:t xml:space="preserve"> </w:t>
      </w:r>
      <w:r w:rsidR="007D698A">
        <w:rPr>
          <w:rFonts w:ascii="Verdana" w:hAnsi="Verdana"/>
          <w:sz w:val="20"/>
          <w:szCs w:val="20"/>
        </w:rPr>
        <w:t xml:space="preserve">1. </w:t>
      </w:r>
      <w:r w:rsidR="007D698A" w:rsidRPr="00410A5A">
        <w:rPr>
          <w:rFonts w:ascii="Verdana" w:hAnsi="Verdana"/>
          <w:sz w:val="20"/>
          <w:szCs w:val="20"/>
        </w:rPr>
        <w:t>Introdução</w:t>
      </w:r>
      <w:r w:rsidR="007D698A">
        <w:rPr>
          <w:rFonts w:ascii="Verdana" w:hAnsi="Verdana"/>
          <w:sz w:val="20"/>
          <w:szCs w:val="20"/>
        </w:rPr>
        <w:t>.</w:t>
      </w:r>
      <w:r w:rsidR="007D698A" w:rsidRPr="00410A5A">
        <w:rPr>
          <w:rFonts w:ascii="Verdana" w:hAnsi="Verdana"/>
          <w:sz w:val="20"/>
          <w:szCs w:val="20"/>
        </w:rPr>
        <w:t xml:space="preserve"> 2</w:t>
      </w:r>
      <w:r w:rsidR="007D698A">
        <w:rPr>
          <w:rFonts w:ascii="Verdana" w:hAnsi="Verdana"/>
          <w:sz w:val="20"/>
          <w:szCs w:val="20"/>
        </w:rPr>
        <w:t>.</w:t>
      </w:r>
      <w:r w:rsidR="007D698A" w:rsidRPr="00410A5A">
        <w:rPr>
          <w:rFonts w:ascii="Verdana" w:hAnsi="Verdana"/>
          <w:sz w:val="20"/>
          <w:szCs w:val="20"/>
        </w:rPr>
        <w:t xml:space="preserve"> Globalização e crise do Estado</w:t>
      </w:r>
      <w:r w:rsidR="007D698A">
        <w:rPr>
          <w:rFonts w:ascii="Verdana" w:hAnsi="Verdana"/>
          <w:sz w:val="20"/>
          <w:szCs w:val="20"/>
        </w:rPr>
        <w:t>.</w:t>
      </w:r>
      <w:r w:rsidR="007D698A" w:rsidRPr="00410A5A">
        <w:rPr>
          <w:rFonts w:ascii="Verdana" w:hAnsi="Verdana"/>
          <w:sz w:val="20"/>
          <w:szCs w:val="20"/>
        </w:rPr>
        <w:t xml:space="preserve"> 3</w:t>
      </w:r>
      <w:r w:rsidR="007D698A">
        <w:rPr>
          <w:rFonts w:ascii="Verdana" w:hAnsi="Verdana"/>
          <w:sz w:val="20"/>
          <w:szCs w:val="20"/>
        </w:rPr>
        <w:t>.</w:t>
      </w:r>
      <w:r w:rsidR="007D698A" w:rsidRPr="00410A5A">
        <w:rPr>
          <w:rFonts w:ascii="Verdana" w:hAnsi="Verdana"/>
          <w:sz w:val="20"/>
          <w:szCs w:val="20"/>
        </w:rPr>
        <w:t xml:space="preserve"> </w:t>
      </w:r>
      <w:r w:rsidR="007D698A" w:rsidRPr="00410A5A">
        <w:rPr>
          <w:rFonts w:ascii="Verdana" w:hAnsi="Verdana"/>
          <w:bCs/>
          <w:sz w:val="20"/>
          <w:szCs w:val="20"/>
        </w:rPr>
        <w:t>Emergência e protagonismo de atores privados</w:t>
      </w:r>
      <w:r w:rsidR="007D698A">
        <w:rPr>
          <w:rFonts w:ascii="Verdana" w:hAnsi="Verdana"/>
          <w:bCs/>
          <w:sz w:val="20"/>
          <w:szCs w:val="20"/>
        </w:rPr>
        <w:t>.</w:t>
      </w:r>
      <w:r w:rsidR="007D698A" w:rsidRPr="00410A5A">
        <w:rPr>
          <w:rFonts w:ascii="Verdana" w:hAnsi="Verdana"/>
          <w:bCs/>
          <w:sz w:val="20"/>
          <w:szCs w:val="20"/>
        </w:rPr>
        <w:t xml:space="preserve"> 4</w:t>
      </w:r>
      <w:r w:rsidR="007D698A">
        <w:rPr>
          <w:rFonts w:ascii="Verdana" w:hAnsi="Verdana"/>
          <w:bCs/>
          <w:sz w:val="20"/>
          <w:szCs w:val="20"/>
        </w:rPr>
        <w:t xml:space="preserve">. </w:t>
      </w:r>
      <w:r w:rsidR="0096030C">
        <w:rPr>
          <w:rFonts w:ascii="Verdana" w:hAnsi="Verdana"/>
          <w:bCs/>
          <w:sz w:val="20"/>
          <w:szCs w:val="20"/>
        </w:rPr>
        <w:t>O (</w:t>
      </w:r>
      <w:proofErr w:type="spellStart"/>
      <w:proofErr w:type="gramStart"/>
      <w:r w:rsidR="0096030C">
        <w:rPr>
          <w:rFonts w:ascii="Verdana" w:hAnsi="Verdana"/>
          <w:bCs/>
          <w:sz w:val="20"/>
          <w:szCs w:val="20"/>
        </w:rPr>
        <w:t>d</w:t>
      </w:r>
      <w:r w:rsidR="007D698A" w:rsidRPr="00410A5A">
        <w:rPr>
          <w:rFonts w:ascii="Verdana" w:hAnsi="Verdana"/>
          <w:bCs/>
          <w:sz w:val="20"/>
          <w:szCs w:val="20"/>
        </w:rPr>
        <w:t>es</w:t>
      </w:r>
      <w:proofErr w:type="spellEnd"/>
      <w:r w:rsidR="007D698A" w:rsidRPr="00410A5A">
        <w:rPr>
          <w:rFonts w:ascii="Verdana" w:hAnsi="Verdana"/>
          <w:bCs/>
          <w:sz w:val="20"/>
          <w:szCs w:val="20"/>
        </w:rPr>
        <w:t>)controle</w:t>
      </w:r>
      <w:proofErr w:type="gramEnd"/>
      <w:r w:rsidR="007D698A" w:rsidRPr="00410A5A">
        <w:rPr>
          <w:rFonts w:ascii="Verdana" w:hAnsi="Verdana"/>
          <w:bCs/>
          <w:sz w:val="20"/>
          <w:szCs w:val="20"/>
        </w:rPr>
        <w:t xml:space="preserve"> dos poderes privados e as ameaças à democracia</w:t>
      </w:r>
      <w:r w:rsidR="007D698A">
        <w:rPr>
          <w:rFonts w:ascii="Verdana" w:hAnsi="Verdana"/>
          <w:bCs/>
          <w:sz w:val="20"/>
          <w:szCs w:val="20"/>
        </w:rPr>
        <w:t>.</w:t>
      </w:r>
      <w:r w:rsidR="007D698A" w:rsidRPr="00410A5A">
        <w:rPr>
          <w:rFonts w:ascii="Verdana" w:hAnsi="Verdana"/>
          <w:bCs/>
          <w:sz w:val="20"/>
          <w:szCs w:val="20"/>
        </w:rPr>
        <w:t xml:space="preserve"> 5</w:t>
      </w:r>
      <w:r w:rsidR="007D698A">
        <w:rPr>
          <w:rFonts w:ascii="Verdana" w:hAnsi="Verdana"/>
          <w:bCs/>
          <w:sz w:val="20"/>
          <w:szCs w:val="20"/>
        </w:rPr>
        <w:t>.</w:t>
      </w:r>
      <w:r w:rsidR="007D698A" w:rsidRPr="00410A5A">
        <w:rPr>
          <w:rFonts w:ascii="Verdana" w:hAnsi="Verdana"/>
          <w:bCs/>
          <w:sz w:val="20"/>
          <w:szCs w:val="20"/>
        </w:rPr>
        <w:t xml:space="preserve"> Conclusão</w:t>
      </w:r>
      <w:r w:rsidR="007D698A">
        <w:rPr>
          <w:rFonts w:ascii="Verdana" w:hAnsi="Verdana"/>
          <w:bCs/>
          <w:sz w:val="20"/>
          <w:szCs w:val="20"/>
        </w:rPr>
        <w:t>.</w:t>
      </w:r>
      <w:r w:rsidR="007D698A">
        <w:rPr>
          <w:rFonts w:ascii="Verdana" w:hAnsi="Verdana"/>
          <w:bCs/>
          <w:sz w:val="20"/>
          <w:szCs w:val="20"/>
        </w:rPr>
        <w:t xml:space="preserve"> </w:t>
      </w:r>
      <w:r w:rsidR="007D698A">
        <w:rPr>
          <w:rFonts w:ascii="Verdana" w:hAnsi="Verdana"/>
          <w:bCs/>
          <w:sz w:val="20"/>
          <w:szCs w:val="20"/>
        </w:rPr>
        <w:t xml:space="preserve">6. </w:t>
      </w:r>
      <w:r w:rsidR="007D698A">
        <w:rPr>
          <w:rFonts w:ascii="Verdana" w:hAnsi="Verdana"/>
          <w:bCs/>
          <w:sz w:val="20"/>
          <w:szCs w:val="20"/>
        </w:rPr>
        <w:t>Referências.</w:t>
      </w:r>
    </w:p>
    <w:p w14:paraId="76CCD2A2" w14:textId="77777777" w:rsidR="00DE0A30" w:rsidRPr="00297F18" w:rsidRDefault="00DE0A30" w:rsidP="00DE0A30">
      <w:pPr>
        <w:spacing w:after="0" w:line="240" w:lineRule="auto"/>
        <w:jc w:val="both"/>
        <w:rPr>
          <w:rFonts w:ascii="Verdana" w:hAnsi="Verdana"/>
          <w:sz w:val="20"/>
          <w:szCs w:val="20"/>
          <w:lang w:val="es-ES_tradnl"/>
        </w:rPr>
      </w:pPr>
      <w:bookmarkStart w:id="0" w:name="_Toc1565362"/>
    </w:p>
    <w:p w14:paraId="203FBEF6" w14:textId="2C27135B" w:rsidR="00DE0A30" w:rsidRPr="00BD7AA6" w:rsidRDefault="00C44E1B" w:rsidP="00DE0A30">
      <w:pPr>
        <w:spacing w:after="0" w:line="240" w:lineRule="auto"/>
        <w:jc w:val="both"/>
        <w:rPr>
          <w:rFonts w:ascii="Verdana" w:hAnsi="Verdana"/>
          <w:sz w:val="20"/>
          <w:szCs w:val="20"/>
          <w:lang w:val="es-ES" w:eastAsia="pt-BR"/>
        </w:rPr>
      </w:pPr>
      <w:r w:rsidRPr="00BD7AA6">
        <w:rPr>
          <w:rFonts w:ascii="Verdana" w:hAnsi="Verdana"/>
          <w:b/>
          <w:bCs/>
          <w:color w:val="000000" w:themeColor="text1"/>
          <w:sz w:val="20"/>
          <w:szCs w:val="20"/>
          <w:lang w:val="es-ES"/>
        </w:rPr>
        <w:t>Resum</w:t>
      </w:r>
      <w:r w:rsidR="00297F18" w:rsidRPr="00BD7AA6">
        <w:rPr>
          <w:rFonts w:ascii="Verdana" w:hAnsi="Verdana"/>
          <w:b/>
          <w:bCs/>
          <w:color w:val="000000" w:themeColor="text1"/>
          <w:sz w:val="20"/>
          <w:szCs w:val="20"/>
          <w:lang w:val="es-ES"/>
        </w:rPr>
        <w:t>en</w:t>
      </w:r>
      <w:r w:rsidR="00626D63" w:rsidRPr="00BD7AA6">
        <w:rPr>
          <w:rFonts w:ascii="Verdana" w:hAnsi="Verdana"/>
          <w:color w:val="000000" w:themeColor="text1"/>
          <w:sz w:val="20"/>
          <w:szCs w:val="20"/>
          <w:lang w:val="es-ES"/>
        </w:rPr>
        <w:t xml:space="preserve">: </w:t>
      </w:r>
      <w:r w:rsidR="007D698A" w:rsidRPr="007D698A">
        <w:rPr>
          <w:rFonts w:ascii="Verdana" w:hAnsi="Verdana"/>
          <w:sz w:val="20"/>
          <w:szCs w:val="20"/>
          <w:lang w:val="es-ES"/>
        </w:rPr>
        <w:t xml:space="preserve">A presente pesquisa preocupa-se </w:t>
      </w:r>
      <w:proofErr w:type="spellStart"/>
      <w:r w:rsidR="007D698A" w:rsidRPr="007D698A">
        <w:rPr>
          <w:rFonts w:ascii="Verdana" w:hAnsi="Verdana"/>
          <w:sz w:val="20"/>
          <w:szCs w:val="20"/>
          <w:lang w:val="es-ES"/>
        </w:rPr>
        <w:t>em</w:t>
      </w:r>
      <w:proofErr w:type="spellEnd"/>
      <w:r w:rsidR="007D698A" w:rsidRPr="007D698A">
        <w:rPr>
          <w:rFonts w:ascii="Verdana" w:hAnsi="Verdana"/>
          <w:sz w:val="20"/>
          <w:szCs w:val="20"/>
          <w:lang w:val="es-ES"/>
        </w:rPr>
        <w:t xml:space="preserve"> relacionar os temas da </w:t>
      </w:r>
      <w:proofErr w:type="spellStart"/>
      <w:r w:rsidR="007D698A" w:rsidRPr="007D698A">
        <w:rPr>
          <w:rFonts w:ascii="Verdana" w:hAnsi="Verdana"/>
          <w:sz w:val="20"/>
          <w:szCs w:val="20"/>
          <w:lang w:val="es-ES"/>
        </w:rPr>
        <w:t>globalização</w:t>
      </w:r>
      <w:proofErr w:type="spellEnd"/>
      <w:r w:rsidR="007D698A" w:rsidRPr="007D698A">
        <w:rPr>
          <w:rFonts w:ascii="Verdana" w:hAnsi="Verdana"/>
          <w:sz w:val="20"/>
          <w:szCs w:val="20"/>
          <w:lang w:val="es-ES"/>
        </w:rPr>
        <w:t xml:space="preserve"> e da </w:t>
      </w:r>
      <w:proofErr w:type="spellStart"/>
      <w:r w:rsidR="007D698A" w:rsidRPr="007D698A">
        <w:rPr>
          <w:rFonts w:ascii="Verdana" w:hAnsi="Verdana"/>
          <w:sz w:val="20"/>
          <w:szCs w:val="20"/>
          <w:lang w:val="es-ES"/>
        </w:rPr>
        <w:t>crise</w:t>
      </w:r>
      <w:proofErr w:type="spellEnd"/>
      <w:r w:rsidR="007D698A" w:rsidRPr="007D698A">
        <w:rPr>
          <w:rFonts w:ascii="Verdana" w:hAnsi="Verdana"/>
          <w:sz w:val="20"/>
          <w:szCs w:val="20"/>
          <w:lang w:val="es-ES"/>
        </w:rPr>
        <w:t xml:space="preserve"> do Estado e os impactos do protagonismo de atores privados na esfera democrática. </w:t>
      </w:r>
      <w:proofErr w:type="spellStart"/>
      <w:r w:rsidR="007D698A" w:rsidRPr="007D698A">
        <w:rPr>
          <w:rFonts w:ascii="Verdana" w:hAnsi="Verdana"/>
          <w:sz w:val="20"/>
          <w:szCs w:val="20"/>
          <w:lang w:val="es-ES"/>
        </w:rPr>
        <w:t>Desse</w:t>
      </w:r>
      <w:proofErr w:type="spellEnd"/>
      <w:r w:rsidR="007D698A" w:rsidRPr="007D698A">
        <w:rPr>
          <w:rFonts w:ascii="Verdana" w:hAnsi="Verdana"/>
          <w:sz w:val="20"/>
          <w:szCs w:val="20"/>
          <w:lang w:val="es-ES"/>
        </w:rPr>
        <w:t xml:space="preserve"> modo, procura </w:t>
      </w:r>
      <w:proofErr w:type="spellStart"/>
      <w:r w:rsidR="007D698A" w:rsidRPr="007D698A">
        <w:rPr>
          <w:rFonts w:ascii="Verdana" w:hAnsi="Verdana"/>
          <w:sz w:val="20"/>
          <w:szCs w:val="20"/>
          <w:lang w:val="es-ES"/>
        </w:rPr>
        <w:t>trabalhar</w:t>
      </w:r>
      <w:proofErr w:type="spellEnd"/>
      <w:r w:rsidR="007D698A" w:rsidRPr="007D698A">
        <w:rPr>
          <w:rFonts w:ascii="Verdana" w:hAnsi="Verdana"/>
          <w:sz w:val="20"/>
          <w:szCs w:val="20"/>
          <w:lang w:val="es-ES"/>
        </w:rPr>
        <w:t xml:space="preserve"> </w:t>
      </w:r>
      <w:proofErr w:type="spellStart"/>
      <w:r w:rsidR="007D698A" w:rsidRPr="007D698A">
        <w:rPr>
          <w:rFonts w:ascii="Verdana" w:hAnsi="Verdana"/>
          <w:sz w:val="20"/>
          <w:szCs w:val="20"/>
          <w:lang w:val="es-ES"/>
        </w:rPr>
        <w:t>com</w:t>
      </w:r>
      <w:proofErr w:type="spellEnd"/>
      <w:r w:rsidR="007D698A" w:rsidRPr="007D698A">
        <w:rPr>
          <w:rFonts w:ascii="Verdana" w:hAnsi="Verdana"/>
          <w:sz w:val="20"/>
          <w:szCs w:val="20"/>
          <w:lang w:val="es-ES"/>
        </w:rPr>
        <w:t xml:space="preserve"> </w:t>
      </w:r>
      <w:proofErr w:type="spellStart"/>
      <w:r w:rsidR="007D698A" w:rsidRPr="007D698A">
        <w:rPr>
          <w:rFonts w:ascii="Verdana" w:hAnsi="Verdana"/>
          <w:sz w:val="20"/>
          <w:szCs w:val="20"/>
          <w:lang w:val="es-ES"/>
        </w:rPr>
        <w:t>categorias</w:t>
      </w:r>
      <w:proofErr w:type="spellEnd"/>
      <w:r w:rsidR="007D698A" w:rsidRPr="007D698A">
        <w:rPr>
          <w:rFonts w:ascii="Verdana" w:hAnsi="Verdana"/>
          <w:sz w:val="20"/>
          <w:szCs w:val="20"/>
          <w:lang w:val="es-ES"/>
        </w:rPr>
        <w:t xml:space="preserve"> </w:t>
      </w:r>
      <w:proofErr w:type="spellStart"/>
      <w:r w:rsidR="007D698A" w:rsidRPr="007D698A">
        <w:rPr>
          <w:rFonts w:ascii="Verdana" w:hAnsi="Verdana"/>
          <w:sz w:val="20"/>
          <w:szCs w:val="20"/>
          <w:lang w:val="es-ES"/>
        </w:rPr>
        <w:t>atuais</w:t>
      </w:r>
      <w:proofErr w:type="spellEnd"/>
      <w:r w:rsidR="007D698A" w:rsidRPr="007D698A">
        <w:rPr>
          <w:rFonts w:ascii="Verdana" w:hAnsi="Verdana"/>
          <w:sz w:val="20"/>
          <w:szCs w:val="20"/>
          <w:lang w:val="es-ES"/>
        </w:rPr>
        <w:t xml:space="preserve"> e relevantes, como a plutocracia mundial, a </w:t>
      </w:r>
      <w:proofErr w:type="spellStart"/>
      <w:r w:rsidR="007D698A" w:rsidRPr="007D698A">
        <w:rPr>
          <w:rFonts w:ascii="Verdana" w:hAnsi="Verdana"/>
          <w:sz w:val="20"/>
          <w:szCs w:val="20"/>
          <w:lang w:val="es-ES"/>
        </w:rPr>
        <w:t>oligarquia</w:t>
      </w:r>
      <w:proofErr w:type="spellEnd"/>
      <w:r w:rsidR="007D698A" w:rsidRPr="007D698A">
        <w:rPr>
          <w:rFonts w:ascii="Verdana" w:hAnsi="Verdana"/>
          <w:sz w:val="20"/>
          <w:szCs w:val="20"/>
          <w:lang w:val="es-ES"/>
        </w:rPr>
        <w:t xml:space="preserve"> e a </w:t>
      </w:r>
      <w:proofErr w:type="spellStart"/>
      <w:r w:rsidR="007D698A" w:rsidRPr="007D698A">
        <w:rPr>
          <w:rFonts w:ascii="Verdana" w:hAnsi="Verdana"/>
          <w:sz w:val="20"/>
          <w:szCs w:val="20"/>
          <w:lang w:val="es-ES"/>
        </w:rPr>
        <w:t>poliarquia</w:t>
      </w:r>
      <w:proofErr w:type="spellEnd"/>
      <w:r w:rsidR="007D698A" w:rsidRPr="007D698A">
        <w:rPr>
          <w:rFonts w:ascii="Verdana" w:hAnsi="Verdana"/>
          <w:sz w:val="20"/>
          <w:szCs w:val="20"/>
          <w:lang w:val="es-ES"/>
        </w:rPr>
        <w:t xml:space="preserve">. </w:t>
      </w:r>
      <w:proofErr w:type="spellStart"/>
      <w:r w:rsidR="007D698A" w:rsidRPr="007D698A">
        <w:rPr>
          <w:rFonts w:ascii="Verdana" w:hAnsi="Verdana"/>
          <w:sz w:val="20"/>
          <w:szCs w:val="20"/>
          <w:lang w:val="es-ES"/>
        </w:rPr>
        <w:t>Com</w:t>
      </w:r>
      <w:proofErr w:type="spellEnd"/>
      <w:r w:rsidR="007D698A" w:rsidRPr="007D698A">
        <w:rPr>
          <w:rFonts w:ascii="Verdana" w:hAnsi="Verdana"/>
          <w:sz w:val="20"/>
          <w:szCs w:val="20"/>
          <w:lang w:val="es-ES"/>
        </w:rPr>
        <w:t xml:space="preserve"> base </w:t>
      </w:r>
      <w:proofErr w:type="spellStart"/>
      <w:r w:rsidR="007D698A" w:rsidRPr="007D698A">
        <w:rPr>
          <w:rFonts w:ascii="Verdana" w:hAnsi="Verdana"/>
          <w:sz w:val="20"/>
          <w:szCs w:val="20"/>
          <w:lang w:val="es-ES"/>
        </w:rPr>
        <w:t>nesses</w:t>
      </w:r>
      <w:proofErr w:type="spellEnd"/>
      <w:r w:rsidR="007D698A" w:rsidRPr="007D698A">
        <w:rPr>
          <w:rFonts w:ascii="Verdana" w:hAnsi="Verdana"/>
          <w:sz w:val="20"/>
          <w:szCs w:val="20"/>
          <w:lang w:val="es-ES"/>
        </w:rPr>
        <w:t xml:space="preserve"> temas, o intuito da pesquisa é responder </w:t>
      </w:r>
      <w:proofErr w:type="spellStart"/>
      <w:r w:rsidR="007D698A" w:rsidRPr="007D698A">
        <w:rPr>
          <w:rFonts w:ascii="Verdana" w:hAnsi="Verdana"/>
          <w:sz w:val="20"/>
          <w:szCs w:val="20"/>
          <w:lang w:val="es-ES"/>
        </w:rPr>
        <w:t>ao</w:t>
      </w:r>
      <w:proofErr w:type="spellEnd"/>
      <w:r w:rsidR="007D698A" w:rsidRPr="007D698A">
        <w:rPr>
          <w:rFonts w:ascii="Verdana" w:hAnsi="Verdana"/>
          <w:sz w:val="20"/>
          <w:szCs w:val="20"/>
          <w:lang w:val="es-ES"/>
        </w:rPr>
        <w:t xml:space="preserve"> </w:t>
      </w:r>
      <w:proofErr w:type="spellStart"/>
      <w:r w:rsidR="007D698A" w:rsidRPr="007D698A">
        <w:rPr>
          <w:rFonts w:ascii="Verdana" w:hAnsi="Verdana"/>
          <w:sz w:val="20"/>
          <w:szCs w:val="20"/>
          <w:lang w:val="es-ES"/>
        </w:rPr>
        <w:t>seguinte</w:t>
      </w:r>
      <w:proofErr w:type="spellEnd"/>
      <w:r w:rsidR="007D698A" w:rsidRPr="007D698A">
        <w:rPr>
          <w:rFonts w:ascii="Verdana" w:hAnsi="Verdana"/>
          <w:sz w:val="20"/>
          <w:szCs w:val="20"/>
          <w:lang w:val="es-ES"/>
        </w:rPr>
        <w:t xml:space="preserve"> problema: no contexto de </w:t>
      </w:r>
      <w:proofErr w:type="spellStart"/>
      <w:r w:rsidR="007D698A" w:rsidRPr="007D698A">
        <w:rPr>
          <w:rFonts w:ascii="Verdana" w:hAnsi="Verdana"/>
          <w:sz w:val="20"/>
          <w:szCs w:val="20"/>
          <w:lang w:val="es-ES"/>
        </w:rPr>
        <w:t>globalização</w:t>
      </w:r>
      <w:proofErr w:type="spellEnd"/>
      <w:r w:rsidR="007D698A" w:rsidRPr="007D698A">
        <w:rPr>
          <w:rFonts w:ascii="Verdana" w:hAnsi="Verdana"/>
          <w:sz w:val="20"/>
          <w:szCs w:val="20"/>
          <w:lang w:val="es-ES"/>
        </w:rPr>
        <w:t xml:space="preserve"> e </w:t>
      </w:r>
      <w:proofErr w:type="spellStart"/>
      <w:r w:rsidR="007D698A" w:rsidRPr="007D698A">
        <w:rPr>
          <w:rFonts w:ascii="Verdana" w:hAnsi="Verdana"/>
          <w:sz w:val="20"/>
          <w:szCs w:val="20"/>
          <w:lang w:val="es-ES"/>
        </w:rPr>
        <w:t>crise</w:t>
      </w:r>
      <w:proofErr w:type="spellEnd"/>
      <w:r w:rsidR="007D698A" w:rsidRPr="007D698A">
        <w:rPr>
          <w:rFonts w:ascii="Verdana" w:hAnsi="Verdana"/>
          <w:sz w:val="20"/>
          <w:szCs w:val="20"/>
          <w:lang w:val="es-ES"/>
        </w:rPr>
        <w:t xml:space="preserve"> do Estado, como a </w:t>
      </w:r>
      <w:proofErr w:type="spellStart"/>
      <w:r w:rsidR="007D698A" w:rsidRPr="007D698A">
        <w:rPr>
          <w:rFonts w:ascii="Verdana" w:hAnsi="Verdana"/>
          <w:sz w:val="20"/>
          <w:szCs w:val="20"/>
          <w:lang w:val="es-ES"/>
        </w:rPr>
        <w:t>emergência</w:t>
      </w:r>
      <w:proofErr w:type="spellEnd"/>
      <w:r w:rsidR="007D698A" w:rsidRPr="007D698A">
        <w:rPr>
          <w:rFonts w:ascii="Verdana" w:hAnsi="Verdana"/>
          <w:sz w:val="20"/>
          <w:szCs w:val="20"/>
          <w:lang w:val="es-ES"/>
        </w:rPr>
        <w:t xml:space="preserve"> e protagonismo de atores privados </w:t>
      </w:r>
      <w:proofErr w:type="spellStart"/>
      <w:r w:rsidR="007D698A" w:rsidRPr="007D698A">
        <w:rPr>
          <w:rFonts w:ascii="Verdana" w:hAnsi="Verdana"/>
          <w:sz w:val="20"/>
          <w:szCs w:val="20"/>
          <w:lang w:val="es-ES"/>
        </w:rPr>
        <w:t>impacta</w:t>
      </w:r>
      <w:r w:rsidR="007D698A">
        <w:rPr>
          <w:rFonts w:ascii="Verdana" w:hAnsi="Verdana"/>
          <w:sz w:val="20"/>
          <w:szCs w:val="20"/>
          <w:lang w:val="es-ES"/>
        </w:rPr>
        <w:t>m</w:t>
      </w:r>
      <w:proofErr w:type="spellEnd"/>
      <w:r w:rsidR="007D698A" w:rsidRPr="007D698A">
        <w:rPr>
          <w:rFonts w:ascii="Verdana" w:hAnsi="Verdana"/>
          <w:sz w:val="20"/>
          <w:szCs w:val="20"/>
          <w:lang w:val="es-ES"/>
        </w:rPr>
        <w:t xml:space="preserve"> as </w:t>
      </w:r>
      <w:proofErr w:type="spellStart"/>
      <w:r w:rsidR="007D698A" w:rsidRPr="007D698A">
        <w:rPr>
          <w:rFonts w:ascii="Verdana" w:hAnsi="Verdana"/>
          <w:sz w:val="20"/>
          <w:szCs w:val="20"/>
          <w:lang w:val="es-ES"/>
        </w:rPr>
        <w:t>instituições</w:t>
      </w:r>
      <w:proofErr w:type="spellEnd"/>
      <w:r w:rsidR="007D698A" w:rsidRPr="007D698A">
        <w:rPr>
          <w:rFonts w:ascii="Verdana" w:hAnsi="Verdana"/>
          <w:sz w:val="20"/>
          <w:szCs w:val="20"/>
          <w:lang w:val="es-ES"/>
        </w:rPr>
        <w:t xml:space="preserve"> democráticas? </w:t>
      </w:r>
      <w:proofErr w:type="spellStart"/>
      <w:r w:rsidR="007D698A" w:rsidRPr="007D698A">
        <w:rPr>
          <w:rFonts w:ascii="Verdana" w:hAnsi="Verdana"/>
          <w:sz w:val="20"/>
          <w:szCs w:val="20"/>
          <w:lang w:val="es-ES"/>
        </w:rPr>
        <w:t>Ao</w:t>
      </w:r>
      <w:proofErr w:type="spellEnd"/>
      <w:r w:rsidR="007D698A" w:rsidRPr="007D698A">
        <w:rPr>
          <w:rFonts w:ascii="Verdana" w:hAnsi="Verdana"/>
          <w:sz w:val="20"/>
          <w:szCs w:val="20"/>
          <w:lang w:val="es-ES"/>
        </w:rPr>
        <w:t xml:space="preserve"> final, </w:t>
      </w:r>
      <w:proofErr w:type="spellStart"/>
      <w:r w:rsidR="007D698A" w:rsidRPr="007D698A">
        <w:rPr>
          <w:rFonts w:ascii="Verdana" w:hAnsi="Verdana"/>
          <w:sz w:val="20"/>
          <w:szCs w:val="20"/>
          <w:lang w:val="es-ES"/>
        </w:rPr>
        <w:t>conclui</w:t>
      </w:r>
      <w:proofErr w:type="spellEnd"/>
      <w:r w:rsidR="007D698A" w:rsidRPr="007D698A">
        <w:rPr>
          <w:rFonts w:ascii="Verdana" w:hAnsi="Verdana"/>
          <w:sz w:val="20"/>
          <w:szCs w:val="20"/>
          <w:lang w:val="es-ES"/>
        </w:rPr>
        <w:t>-</w:t>
      </w:r>
      <w:proofErr w:type="spellStart"/>
      <w:r w:rsidR="007D698A" w:rsidRPr="007D698A">
        <w:rPr>
          <w:rFonts w:ascii="Verdana" w:hAnsi="Verdana"/>
          <w:sz w:val="20"/>
          <w:szCs w:val="20"/>
          <w:lang w:val="es-ES"/>
        </w:rPr>
        <w:t>se</w:t>
      </w:r>
      <w:proofErr w:type="spellEnd"/>
      <w:r w:rsidR="007D698A" w:rsidRPr="007D698A">
        <w:rPr>
          <w:rFonts w:ascii="Verdana" w:hAnsi="Verdana"/>
          <w:sz w:val="20"/>
          <w:szCs w:val="20"/>
          <w:lang w:val="es-ES"/>
        </w:rPr>
        <w:t xml:space="preserve"> que o </w:t>
      </w:r>
      <w:proofErr w:type="spellStart"/>
      <w:r w:rsidR="007D698A" w:rsidRPr="007D698A">
        <w:rPr>
          <w:rFonts w:ascii="Verdana" w:hAnsi="Verdana"/>
          <w:sz w:val="20"/>
          <w:szCs w:val="20"/>
          <w:lang w:val="es-ES"/>
        </w:rPr>
        <w:t>avanço</w:t>
      </w:r>
      <w:proofErr w:type="spellEnd"/>
      <w:r w:rsidR="007D698A" w:rsidRPr="007D698A">
        <w:rPr>
          <w:rFonts w:ascii="Verdana" w:hAnsi="Verdana"/>
          <w:sz w:val="20"/>
          <w:szCs w:val="20"/>
          <w:lang w:val="es-ES"/>
        </w:rPr>
        <w:t xml:space="preserve"> do </w:t>
      </w:r>
      <w:proofErr w:type="spellStart"/>
      <w:r w:rsidR="007D698A" w:rsidRPr="007D698A">
        <w:rPr>
          <w:rFonts w:ascii="Verdana" w:hAnsi="Verdana"/>
          <w:sz w:val="20"/>
          <w:szCs w:val="20"/>
          <w:lang w:val="es-ES"/>
        </w:rPr>
        <w:t>fenômeno</w:t>
      </w:r>
      <w:proofErr w:type="spellEnd"/>
      <w:r w:rsidR="007D698A" w:rsidRPr="007D698A">
        <w:rPr>
          <w:rFonts w:ascii="Verdana" w:hAnsi="Verdana"/>
          <w:sz w:val="20"/>
          <w:szCs w:val="20"/>
          <w:lang w:val="es-ES"/>
        </w:rPr>
        <w:t xml:space="preserve"> da </w:t>
      </w:r>
      <w:proofErr w:type="spellStart"/>
      <w:r w:rsidR="007D698A" w:rsidRPr="007D698A">
        <w:rPr>
          <w:rFonts w:ascii="Verdana" w:hAnsi="Verdana"/>
          <w:sz w:val="20"/>
          <w:szCs w:val="20"/>
          <w:lang w:val="es-ES"/>
        </w:rPr>
        <w:t>globalização</w:t>
      </w:r>
      <w:proofErr w:type="spellEnd"/>
      <w:r w:rsidR="007D698A" w:rsidRPr="007D698A">
        <w:rPr>
          <w:rFonts w:ascii="Verdana" w:hAnsi="Verdana"/>
          <w:sz w:val="20"/>
          <w:szCs w:val="20"/>
          <w:lang w:val="es-ES"/>
        </w:rPr>
        <w:t xml:space="preserve"> e o </w:t>
      </w:r>
      <w:proofErr w:type="spellStart"/>
      <w:r w:rsidR="007D698A" w:rsidRPr="007D698A">
        <w:rPr>
          <w:rFonts w:ascii="Verdana" w:hAnsi="Verdana"/>
          <w:sz w:val="20"/>
          <w:szCs w:val="20"/>
          <w:lang w:val="es-ES"/>
        </w:rPr>
        <w:t>surgimento</w:t>
      </w:r>
      <w:proofErr w:type="spellEnd"/>
      <w:r w:rsidR="007D698A" w:rsidRPr="007D698A">
        <w:rPr>
          <w:rFonts w:ascii="Verdana" w:hAnsi="Verdana"/>
          <w:sz w:val="20"/>
          <w:szCs w:val="20"/>
          <w:lang w:val="es-ES"/>
        </w:rPr>
        <w:t xml:space="preserve"> de atores privados </w:t>
      </w:r>
      <w:proofErr w:type="spellStart"/>
      <w:r w:rsidR="007D698A" w:rsidRPr="007D698A">
        <w:rPr>
          <w:rFonts w:ascii="Verdana" w:hAnsi="Verdana"/>
          <w:sz w:val="20"/>
          <w:szCs w:val="20"/>
          <w:lang w:val="es-ES"/>
        </w:rPr>
        <w:t>resultou</w:t>
      </w:r>
      <w:proofErr w:type="spellEnd"/>
      <w:r w:rsidR="007D698A" w:rsidRPr="007D698A">
        <w:rPr>
          <w:rFonts w:ascii="Verdana" w:hAnsi="Verdana"/>
          <w:sz w:val="20"/>
          <w:szCs w:val="20"/>
          <w:lang w:val="es-ES"/>
        </w:rPr>
        <w:t xml:space="preserve"> </w:t>
      </w:r>
      <w:proofErr w:type="spellStart"/>
      <w:r w:rsidR="007D698A" w:rsidRPr="007D698A">
        <w:rPr>
          <w:rFonts w:ascii="Verdana" w:hAnsi="Verdana"/>
          <w:sz w:val="20"/>
          <w:szCs w:val="20"/>
          <w:lang w:val="es-ES"/>
        </w:rPr>
        <w:t>em</w:t>
      </w:r>
      <w:proofErr w:type="spellEnd"/>
      <w:r w:rsidR="007D698A" w:rsidRPr="007D698A">
        <w:rPr>
          <w:rFonts w:ascii="Verdana" w:hAnsi="Verdana"/>
          <w:sz w:val="20"/>
          <w:szCs w:val="20"/>
          <w:lang w:val="es-ES"/>
        </w:rPr>
        <w:t xml:space="preserve"> </w:t>
      </w:r>
      <w:proofErr w:type="spellStart"/>
      <w:r w:rsidR="007D698A" w:rsidRPr="007D698A">
        <w:rPr>
          <w:rFonts w:ascii="Verdana" w:hAnsi="Verdana"/>
          <w:sz w:val="20"/>
          <w:szCs w:val="20"/>
          <w:lang w:val="es-ES"/>
        </w:rPr>
        <w:t>um</w:t>
      </w:r>
      <w:proofErr w:type="spellEnd"/>
      <w:r w:rsidR="007D698A" w:rsidRPr="007D698A">
        <w:rPr>
          <w:rFonts w:ascii="Verdana" w:hAnsi="Verdana"/>
          <w:sz w:val="20"/>
          <w:szCs w:val="20"/>
          <w:lang w:val="es-ES"/>
        </w:rPr>
        <w:t xml:space="preserve"> </w:t>
      </w:r>
      <w:proofErr w:type="spellStart"/>
      <w:r w:rsidR="007D698A" w:rsidRPr="007D698A">
        <w:rPr>
          <w:rFonts w:ascii="Verdana" w:hAnsi="Verdana"/>
          <w:sz w:val="20"/>
          <w:szCs w:val="20"/>
          <w:lang w:val="es-ES"/>
        </w:rPr>
        <w:t>cenário</w:t>
      </w:r>
      <w:proofErr w:type="spellEnd"/>
      <w:r w:rsidR="007D698A" w:rsidRPr="007D698A">
        <w:rPr>
          <w:rFonts w:ascii="Verdana" w:hAnsi="Verdana"/>
          <w:sz w:val="20"/>
          <w:szCs w:val="20"/>
          <w:lang w:val="es-ES"/>
        </w:rPr>
        <w:t xml:space="preserve"> de </w:t>
      </w:r>
      <w:proofErr w:type="spellStart"/>
      <w:r w:rsidR="007D698A" w:rsidRPr="007D698A">
        <w:rPr>
          <w:rFonts w:ascii="Verdana" w:hAnsi="Verdana"/>
          <w:sz w:val="20"/>
          <w:szCs w:val="20"/>
          <w:lang w:val="es-ES"/>
        </w:rPr>
        <w:t>crise</w:t>
      </w:r>
      <w:proofErr w:type="spellEnd"/>
      <w:r w:rsidR="007D698A" w:rsidRPr="007D698A">
        <w:rPr>
          <w:rFonts w:ascii="Verdana" w:hAnsi="Verdana"/>
          <w:sz w:val="20"/>
          <w:szCs w:val="20"/>
          <w:lang w:val="es-ES"/>
        </w:rPr>
        <w:t xml:space="preserve">, no </w:t>
      </w:r>
      <w:proofErr w:type="spellStart"/>
      <w:r w:rsidR="007D698A" w:rsidRPr="007D698A">
        <w:rPr>
          <w:rFonts w:ascii="Verdana" w:hAnsi="Verdana"/>
          <w:sz w:val="20"/>
          <w:szCs w:val="20"/>
          <w:lang w:val="es-ES"/>
        </w:rPr>
        <w:t>qual</w:t>
      </w:r>
      <w:proofErr w:type="spellEnd"/>
      <w:r w:rsidR="007D698A" w:rsidRPr="007D698A">
        <w:rPr>
          <w:rFonts w:ascii="Verdana" w:hAnsi="Verdana"/>
          <w:sz w:val="20"/>
          <w:szCs w:val="20"/>
          <w:lang w:val="es-ES"/>
        </w:rPr>
        <w:t xml:space="preserve"> o papel normativo do </w:t>
      </w:r>
      <w:proofErr w:type="spellStart"/>
      <w:r w:rsidR="007D698A" w:rsidRPr="007D698A">
        <w:rPr>
          <w:rFonts w:ascii="Verdana" w:hAnsi="Verdana"/>
          <w:sz w:val="20"/>
          <w:szCs w:val="20"/>
          <w:lang w:val="es-ES"/>
        </w:rPr>
        <w:t>direito</w:t>
      </w:r>
      <w:proofErr w:type="spellEnd"/>
      <w:r w:rsidR="007D698A" w:rsidRPr="007D698A">
        <w:rPr>
          <w:rFonts w:ascii="Verdana" w:hAnsi="Verdana"/>
          <w:sz w:val="20"/>
          <w:szCs w:val="20"/>
          <w:lang w:val="es-ES"/>
        </w:rPr>
        <w:t xml:space="preserve"> estatal é </w:t>
      </w:r>
      <w:proofErr w:type="spellStart"/>
      <w:r w:rsidR="007D698A" w:rsidRPr="007D698A">
        <w:rPr>
          <w:rFonts w:ascii="Verdana" w:hAnsi="Verdana"/>
          <w:sz w:val="20"/>
          <w:szCs w:val="20"/>
          <w:lang w:val="es-ES"/>
        </w:rPr>
        <w:t>esvaziado</w:t>
      </w:r>
      <w:proofErr w:type="spellEnd"/>
      <w:r w:rsidR="007D698A" w:rsidRPr="007D698A">
        <w:rPr>
          <w:rFonts w:ascii="Verdana" w:hAnsi="Verdana"/>
          <w:sz w:val="20"/>
          <w:szCs w:val="20"/>
          <w:lang w:val="es-ES"/>
        </w:rPr>
        <w:t xml:space="preserve"> pelo </w:t>
      </w:r>
      <w:proofErr w:type="spellStart"/>
      <w:r w:rsidR="007D698A" w:rsidRPr="007D698A">
        <w:rPr>
          <w:rFonts w:ascii="Verdana" w:hAnsi="Verdana"/>
          <w:sz w:val="20"/>
          <w:szCs w:val="20"/>
          <w:lang w:val="es-ES"/>
        </w:rPr>
        <w:t>enfraquecimento</w:t>
      </w:r>
      <w:proofErr w:type="spellEnd"/>
      <w:r w:rsidR="007D698A" w:rsidRPr="007D698A">
        <w:rPr>
          <w:rFonts w:ascii="Verdana" w:hAnsi="Verdana"/>
          <w:sz w:val="20"/>
          <w:szCs w:val="20"/>
          <w:lang w:val="es-ES"/>
        </w:rPr>
        <w:t xml:space="preserve"> da </w:t>
      </w:r>
      <w:proofErr w:type="spellStart"/>
      <w:r w:rsidR="007D698A" w:rsidRPr="007D698A">
        <w:rPr>
          <w:rFonts w:ascii="Verdana" w:hAnsi="Verdana"/>
          <w:sz w:val="20"/>
          <w:szCs w:val="20"/>
          <w:lang w:val="es-ES"/>
        </w:rPr>
        <w:t>soberania</w:t>
      </w:r>
      <w:proofErr w:type="spellEnd"/>
      <w:r w:rsidR="007D698A" w:rsidRPr="007D698A">
        <w:rPr>
          <w:rFonts w:ascii="Verdana" w:hAnsi="Verdana"/>
          <w:sz w:val="20"/>
          <w:szCs w:val="20"/>
          <w:lang w:val="es-ES"/>
        </w:rPr>
        <w:t xml:space="preserve"> do Estado, principalmente no que </w:t>
      </w:r>
      <w:proofErr w:type="spellStart"/>
      <w:r w:rsidR="007D698A" w:rsidRPr="007D698A">
        <w:rPr>
          <w:rFonts w:ascii="Verdana" w:hAnsi="Verdana"/>
          <w:sz w:val="20"/>
          <w:szCs w:val="20"/>
          <w:lang w:val="es-ES"/>
        </w:rPr>
        <w:t>diz</w:t>
      </w:r>
      <w:proofErr w:type="spellEnd"/>
      <w:r w:rsidR="007D698A" w:rsidRPr="007D698A">
        <w:rPr>
          <w:rFonts w:ascii="Verdana" w:hAnsi="Verdana"/>
          <w:sz w:val="20"/>
          <w:szCs w:val="20"/>
          <w:lang w:val="es-ES"/>
        </w:rPr>
        <w:t xml:space="preserve"> </w:t>
      </w:r>
      <w:proofErr w:type="spellStart"/>
      <w:r w:rsidR="007D698A" w:rsidRPr="007D698A">
        <w:rPr>
          <w:rFonts w:ascii="Verdana" w:hAnsi="Verdana"/>
          <w:sz w:val="20"/>
          <w:szCs w:val="20"/>
          <w:lang w:val="es-ES"/>
        </w:rPr>
        <w:t>respeito</w:t>
      </w:r>
      <w:proofErr w:type="spellEnd"/>
      <w:r w:rsidR="007D698A" w:rsidRPr="007D698A">
        <w:rPr>
          <w:rFonts w:ascii="Verdana" w:hAnsi="Verdana"/>
          <w:sz w:val="20"/>
          <w:szCs w:val="20"/>
          <w:lang w:val="es-ES"/>
        </w:rPr>
        <w:t xml:space="preserve"> a </w:t>
      </w:r>
      <w:proofErr w:type="spellStart"/>
      <w:r w:rsidR="007D698A" w:rsidRPr="007D698A">
        <w:rPr>
          <w:rFonts w:ascii="Verdana" w:hAnsi="Verdana"/>
          <w:sz w:val="20"/>
          <w:szCs w:val="20"/>
          <w:lang w:val="es-ES"/>
        </w:rPr>
        <w:t>sua</w:t>
      </w:r>
      <w:proofErr w:type="spellEnd"/>
      <w:r w:rsidR="007D698A" w:rsidRPr="007D698A">
        <w:rPr>
          <w:rFonts w:ascii="Verdana" w:hAnsi="Verdana"/>
          <w:sz w:val="20"/>
          <w:szCs w:val="20"/>
          <w:lang w:val="es-ES"/>
        </w:rPr>
        <w:t xml:space="preserve"> </w:t>
      </w:r>
      <w:proofErr w:type="spellStart"/>
      <w:r w:rsidR="007D698A" w:rsidRPr="007D698A">
        <w:rPr>
          <w:rFonts w:ascii="Verdana" w:hAnsi="Verdana"/>
          <w:sz w:val="20"/>
          <w:szCs w:val="20"/>
          <w:lang w:val="es-ES"/>
        </w:rPr>
        <w:t>autonomia</w:t>
      </w:r>
      <w:proofErr w:type="spellEnd"/>
      <w:r w:rsidR="007D698A" w:rsidRPr="007D698A">
        <w:rPr>
          <w:rFonts w:ascii="Verdana" w:hAnsi="Verdana"/>
          <w:sz w:val="20"/>
          <w:szCs w:val="20"/>
          <w:lang w:val="es-ES"/>
        </w:rPr>
        <w:t xml:space="preserve"> de </w:t>
      </w:r>
      <w:proofErr w:type="spellStart"/>
      <w:r w:rsidR="007D698A" w:rsidRPr="007D698A">
        <w:rPr>
          <w:rFonts w:ascii="Verdana" w:hAnsi="Verdana"/>
          <w:sz w:val="20"/>
          <w:szCs w:val="20"/>
          <w:lang w:val="es-ES"/>
        </w:rPr>
        <w:t>decisão</w:t>
      </w:r>
      <w:proofErr w:type="spellEnd"/>
      <w:r w:rsidR="007D698A" w:rsidRPr="007D698A">
        <w:rPr>
          <w:rFonts w:ascii="Verdana" w:hAnsi="Verdana"/>
          <w:sz w:val="20"/>
          <w:szCs w:val="20"/>
          <w:lang w:val="es-ES"/>
        </w:rPr>
        <w:t xml:space="preserve">. </w:t>
      </w:r>
      <w:proofErr w:type="spellStart"/>
      <w:r w:rsidR="007D698A" w:rsidRPr="007D698A">
        <w:rPr>
          <w:rFonts w:ascii="Verdana" w:hAnsi="Verdana"/>
          <w:sz w:val="20"/>
          <w:szCs w:val="20"/>
          <w:lang w:val="es-ES"/>
        </w:rPr>
        <w:t>Nessa</w:t>
      </w:r>
      <w:proofErr w:type="spellEnd"/>
      <w:r w:rsidR="007D698A" w:rsidRPr="007D698A">
        <w:rPr>
          <w:rFonts w:ascii="Verdana" w:hAnsi="Verdana"/>
          <w:sz w:val="20"/>
          <w:szCs w:val="20"/>
          <w:lang w:val="es-ES"/>
        </w:rPr>
        <w:t xml:space="preserve"> perspectiva, </w:t>
      </w:r>
      <w:proofErr w:type="spellStart"/>
      <w:r w:rsidR="007D698A" w:rsidRPr="007D698A">
        <w:rPr>
          <w:rFonts w:ascii="Verdana" w:hAnsi="Verdana"/>
          <w:sz w:val="20"/>
          <w:szCs w:val="20"/>
          <w:lang w:val="es-ES"/>
        </w:rPr>
        <w:t>consoante</w:t>
      </w:r>
      <w:proofErr w:type="spellEnd"/>
      <w:r w:rsidR="007D698A" w:rsidRPr="007D698A">
        <w:rPr>
          <w:rFonts w:ascii="Verdana" w:hAnsi="Verdana"/>
          <w:sz w:val="20"/>
          <w:szCs w:val="20"/>
          <w:lang w:val="es-ES"/>
        </w:rPr>
        <w:t xml:space="preserve"> </w:t>
      </w:r>
      <w:proofErr w:type="spellStart"/>
      <w:r w:rsidR="007D698A" w:rsidRPr="007D698A">
        <w:rPr>
          <w:rFonts w:ascii="Verdana" w:hAnsi="Verdana"/>
          <w:sz w:val="20"/>
          <w:szCs w:val="20"/>
          <w:lang w:val="es-ES"/>
        </w:rPr>
        <w:t>ao</w:t>
      </w:r>
      <w:proofErr w:type="spellEnd"/>
      <w:r w:rsidR="007D698A" w:rsidRPr="007D698A">
        <w:rPr>
          <w:rFonts w:ascii="Verdana" w:hAnsi="Verdana"/>
          <w:sz w:val="20"/>
          <w:szCs w:val="20"/>
          <w:lang w:val="es-ES"/>
        </w:rPr>
        <w:t xml:space="preserve"> que </w:t>
      </w:r>
      <w:proofErr w:type="spellStart"/>
      <w:r w:rsidR="007D698A" w:rsidRPr="007D698A">
        <w:rPr>
          <w:rFonts w:ascii="Verdana" w:hAnsi="Verdana"/>
          <w:sz w:val="20"/>
          <w:szCs w:val="20"/>
          <w:lang w:val="es-ES"/>
        </w:rPr>
        <w:t>restou</w:t>
      </w:r>
      <w:proofErr w:type="spellEnd"/>
      <w:r w:rsidR="007D698A" w:rsidRPr="007D698A">
        <w:rPr>
          <w:rFonts w:ascii="Verdana" w:hAnsi="Verdana"/>
          <w:sz w:val="20"/>
          <w:szCs w:val="20"/>
          <w:lang w:val="es-ES"/>
        </w:rPr>
        <w:t xml:space="preserve"> </w:t>
      </w:r>
      <w:proofErr w:type="spellStart"/>
      <w:r w:rsidR="007D698A" w:rsidRPr="007D698A">
        <w:rPr>
          <w:rFonts w:ascii="Verdana" w:hAnsi="Verdana"/>
          <w:sz w:val="20"/>
          <w:szCs w:val="20"/>
          <w:lang w:val="es-ES"/>
        </w:rPr>
        <w:t>demonstrado</w:t>
      </w:r>
      <w:proofErr w:type="spellEnd"/>
      <w:r w:rsidR="007D698A" w:rsidRPr="007D698A">
        <w:rPr>
          <w:rFonts w:ascii="Verdana" w:hAnsi="Verdana"/>
          <w:sz w:val="20"/>
          <w:szCs w:val="20"/>
          <w:lang w:val="es-ES"/>
        </w:rPr>
        <w:t xml:space="preserve">, a </w:t>
      </w:r>
      <w:proofErr w:type="spellStart"/>
      <w:r w:rsidR="007D698A" w:rsidRPr="007D698A">
        <w:rPr>
          <w:rFonts w:ascii="Verdana" w:hAnsi="Verdana"/>
          <w:sz w:val="20"/>
          <w:szCs w:val="20"/>
          <w:lang w:val="es-ES"/>
        </w:rPr>
        <w:t>influência</w:t>
      </w:r>
      <w:proofErr w:type="spellEnd"/>
      <w:r w:rsidR="007D698A" w:rsidRPr="007D698A">
        <w:rPr>
          <w:rFonts w:ascii="Verdana" w:hAnsi="Verdana"/>
          <w:sz w:val="20"/>
          <w:szCs w:val="20"/>
          <w:lang w:val="es-ES"/>
        </w:rPr>
        <w:t xml:space="preserve"> e o protagonismo dos atores privados impacta negativamente </w:t>
      </w:r>
      <w:proofErr w:type="spellStart"/>
      <w:r w:rsidR="007D698A" w:rsidRPr="007D698A">
        <w:rPr>
          <w:rFonts w:ascii="Verdana" w:hAnsi="Verdana"/>
          <w:sz w:val="20"/>
          <w:szCs w:val="20"/>
          <w:lang w:val="es-ES"/>
        </w:rPr>
        <w:t>às</w:t>
      </w:r>
      <w:proofErr w:type="spellEnd"/>
      <w:r w:rsidR="007D698A" w:rsidRPr="007D698A">
        <w:rPr>
          <w:rFonts w:ascii="Verdana" w:hAnsi="Verdana"/>
          <w:sz w:val="20"/>
          <w:szCs w:val="20"/>
          <w:lang w:val="es-ES"/>
        </w:rPr>
        <w:t xml:space="preserve"> </w:t>
      </w:r>
      <w:proofErr w:type="spellStart"/>
      <w:r w:rsidR="007D698A" w:rsidRPr="007D698A">
        <w:rPr>
          <w:rFonts w:ascii="Verdana" w:hAnsi="Verdana"/>
          <w:sz w:val="20"/>
          <w:szCs w:val="20"/>
          <w:lang w:val="es-ES"/>
        </w:rPr>
        <w:t>instituições</w:t>
      </w:r>
      <w:proofErr w:type="spellEnd"/>
      <w:r w:rsidR="007D698A" w:rsidRPr="007D698A">
        <w:rPr>
          <w:rFonts w:ascii="Verdana" w:hAnsi="Verdana"/>
          <w:sz w:val="20"/>
          <w:szCs w:val="20"/>
          <w:lang w:val="es-ES"/>
        </w:rPr>
        <w:t xml:space="preserve"> democráticas, na medida </w:t>
      </w:r>
      <w:proofErr w:type="spellStart"/>
      <w:r w:rsidR="007D698A" w:rsidRPr="007D698A">
        <w:rPr>
          <w:rFonts w:ascii="Verdana" w:hAnsi="Verdana"/>
          <w:sz w:val="20"/>
          <w:szCs w:val="20"/>
          <w:lang w:val="es-ES"/>
        </w:rPr>
        <w:t>em</w:t>
      </w:r>
      <w:proofErr w:type="spellEnd"/>
      <w:r w:rsidR="007D698A" w:rsidRPr="007D698A">
        <w:rPr>
          <w:rFonts w:ascii="Verdana" w:hAnsi="Verdana"/>
          <w:sz w:val="20"/>
          <w:szCs w:val="20"/>
          <w:lang w:val="es-ES"/>
        </w:rPr>
        <w:t xml:space="preserve"> que a </w:t>
      </w:r>
      <w:proofErr w:type="spellStart"/>
      <w:r w:rsidR="007D698A" w:rsidRPr="007D698A">
        <w:rPr>
          <w:rFonts w:ascii="Verdana" w:hAnsi="Verdana"/>
          <w:sz w:val="20"/>
          <w:szCs w:val="20"/>
          <w:lang w:val="es-ES"/>
        </w:rPr>
        <w:t>sobreposição</w:t>
      </w:r>
      <w:proofErr w:type="spellEnd"/>
      <w:r w:rsidR="007D698A" w:rsidRPr="007D698A">
        <w:rPr>
          <w:rFonts w:ascii="Verdana" w:hAnsi="Verdana"/>
          <w:sz w:val="20"/>
          <w:szCs w:val="20"/>
          <w:lang w:val="es-ES"/>
        </w:rPr>
        <w:t xml:space="preserve"> dos poderes </w:t>
      </w:r>
      <w:proofErr w:type="spellStart"/>
      <w:r w:rsidR="007D698A" w:rsidRPr="007D698A">
        <w:rPr>
          <w:rFonts w:ascii="Verdana" w:hAnsi="Verdana"/>
          <w:sz w:val="20"/>
          <w:szCs w:val="20"/>
          <w:lang w:val="es-ES"/>
        </w:rPr>
        <w:t>econômicos</w:t>
      </w:r>
      <w:proofErr w:type="spellEnd"/>
      <w:r w:rsidR="007D698A" w:rsidRPr="007D698A">
        <w:rPr>
          <w:rFonts w:ascii="Verdana" w:hAnsi="Verdana"/>
          <w:sz w:val="20"/>
          <w:szCs w:val="20"/>
          <w:lang w:val="es-ES"/>
        </w:rPr>
        <w:t xml:space="preserve"> e </w:t>
      </w:r>
      <w:proofErr w:type="spellStart"/>
      <w:r w:rsidR="007D698A" w:rsidRPr="007D698A">
        <w:rPr>
          <w:rFonts w:ascii="Verdana" w:hAnsi="Verdana"/>
          <w:sz w:val="20"/>
          <w:szCs w:val="20"/>
          <w:lang w:val="es-ES"/>
        </w:rPr>
        <w:t>financeiros</w:t>
      </w:r>
      <w:proofErr w:type="spellEnd"/>
      <w:r w:rsidR="007D698A" w:rsidRPr="007D698A">
        <w:rPr>
          <w:rFonts w:ascii="Verdana" w:hAnsi="Verdana"/>
          <w:sz w:val="20"/>
          <w:szCs w:val="20"/>
          <w:lang w:val="es-ES"/>
        </w:rPr>
        <w:t xml:space="preserve"> sobre os poderes públicos resulta </w:t>
      </w:r>
      <w:proofErr w:type="spellStart"/>
      <w:r w:rsidR="007D698A" w:rsidRPr="007D698A">
        <w:rPr>
          <w:rFonts w:ascii="Verdana" w:hAnsi="Verdana"/>
          <w:sz w:val="20"/>
          <w:szCs w:val="20"/>
          <w:lang w:val="es-ES"/>
        </w:rPr>
        <w:t>prejuízos</w:t>
      </w:r>
      <w:proofErr w:type="spellEnd"/>
      <w:r w:rsidR="007D698A" w:rsidRPr="007D698A">
        <w:rPr>
          <w:rFonts w:ascii="Verdana" w:hAnsi="Verdana"/>
          <w:sz w:val="20"/>
          <w:szCs w:val="20"/>
          <w:lang w:val="es-ES"/>
        </w:rPr>
        <w:t xml:space="preserve"> à </w:t>
      </w:r>
      <w:proofErr w:type="spellStart"/>
      <w:r w:rsidR="007D698A" w:rsidRPr="007D698A">
        <w:rPr>
          <w:rFonts w:ascii="Verdana" w:hAnsi="Verdana"/>
          <w:sz w:val="20"/>
          <w:szCs w:val="20"/>
          <w:lang w:val="es-ES"/>
        </w:rPr>
        <w:t>garantia</w:t>
      </w:r>
      <w:proofErr w:type="spellEnd"/>
      <w:r w:rsidR="007D698A" w:rsidRPr="007D698A">
        <w:rPr>
          <w:rFonts w:ascii="Verdana" w:hAnsi="Verdana"/>
          <w:sz w:val="20"/>
          <w:szCs w:val="20"/>
          <w:lang w:val="es-ES"/>
        </w:rPr>
        <w:t xml:space="preserve"> dos </w:t>
      </w:r>
      <w:proofErr w:type="spellStart"/>
      <w:r w:rsidR="007D698A" w:rsidRPr="007D698A">
        <w:rPr>
          <w:rFonts w:ascii="Verdana" w:hAnsi="Verdana"/>
          <w:sz w:val="20"/>
          <w:szCs w:val="20"/>
          <w:lang w:val="es-ES"/>
        </w:rPr>
        <w:t>direitos</w:t>
      </w:r>
      <w:proofErr w:type="spellEnd"/>
      <w:r w:rsidR="007D698A" w:rsidRPr="007D698A">
        <w:rPr>
          <w:rFonts w:ascii="Verdana" w:hAnsi="Verdana"/>
          <w:sz w:val="20"/>
          <w:szCs w:val="20"/>
          <w:lang w:val="es-ES"/>
        </w:rPr>
        <w:t xml:space="preserve"> </w:t>
      </w:r>
      <w:proofErr w:type="spellStart"/>
      <w:r w:rsidR="007D698A" w:rsidRPr="007D698A">
        <w:rPr>
          <w:rFonts w:ascii="Verdana" w:hAnsi="Verdana"/>
          <w:sz w:val="20"/>
          <w:szCs w:val="20"/>
          <w:lang w:val="es-ES"/>
        </w:rPr>
        <w:t>fundamentais</w:t>
      </w:r>
      <w:proofErr w:type="spellEnd"/>
      <w:r w:rsidR="007D698A" w:rsidRPr="007D698A">
        <w:rPr>
          <w:rFonts w:ascii="Verdana" w:hAnsi="Verdana"/>
          <w:sz w:val="20"/>
          <w:szCs w:val="20"/>
          <w:lang w:val="es-ES"/>
        </w:rPr>
        <w:t xml:space="preserve"> dos </w:t>
      </w:r>
      <w:proofErr w:type="spellStart"/>
      <w:r w:rsidR="007D698A" w:rsidRPr="007D698A">
        <w:rPr>
          <w:rFonts w:ascii="Verdana" w:hAnsi="Verdana"/>
          <w:sz w:val="20"/>
          <w:szCs w:val="20"/>
          <w:lang w:val="es-ES"/>
        </w:rPr>
        <w:t>cidadãos</w:t>
      </w:r>
      <w:proofErr w:type="spellEnd"/>
      <w:r w:rsidR="007D698A" w:rsidRPr="007D698A">
        <w:rPr>
          <w:rFonts w:ascii="Verdana" w:hAnsi="Verdana"/>
          <w:sz w:val="20"/>
          <w:szCs w:val="20"/>
          <w:lang w:val="es-ES"/>
        </w:rPr>
        <w:t xml:space="preserve">, </w:t>
      </w:r>
      <w:proofErr w:type="spellStart"/>
      <w:r w:rsidR="007D698A" w:rsidRPr="007D698A">
        <w:rPr>
          <w:rFonts w:ascii="Verdana" w:hAnsi="Verdana"/>
          <w:sz w:val="20"/>
          <w:szCs w:val="20"/>
          <w:lang w:val="es-ES"/>
        </w:rPr>
        <w:t>assim</w:t>
      </w:r>
      <w:proofErr w:type="spellEnd"/>
      <w:r w:rsidR="007D698A" w:rsidRPr="007D698A">
        <w:rPr>
          <w:rFonts w:ascii="Verdana" w:hAnsi="Verdana"/>
          <w:sz w:val="20"/>
          <w:szCs w:val="20"/>
          <w:lang w:val="es-ES"/>
        </w:rPr>
        <w:t xml:space="preserve"> como </w:t>
      </w:r>
      <w:proofErr w:type="spellStart"/>
      <w:r w:rsidR="007D698A" w:rsidRPr="007D698A">
        <w:rPr>
          <w:rFonts w:ascii="Verdana" w:hAnsi="Verdana"/>
          <w:sz w:val="20"/>
          <w:szCs w:val="20"/>
          <w:lang w:val="es-ES"/>
        </w:rPr>
        <w:t>enfraquece</w:t>
      </w:r>
      <w:proofErr w:type="spellEnd"/>
      <w:r w:rsidR="007D698A" w:rsidRPr="007D698A">
        <w:rPr>
          <w:rFonts w:ascii="Verdana" w:hAnsi="Verdana"/>
          <w:sz w:val="20"/>
          <w:szCs w:val="20"/>
          <w:lang w:val="es-ES"/>
        </w:rPr>
        <w:t xml:space="preserve"> a democracia. O </w:t>
      </w:r>
      <w:proofErr w:type="spellStart"/>
      <w:r w:rsidR="007D698A" w:rsidRPr="007D698A">
        <w:rPr>
          <w:rFonts w:ascii="Verdana" w:hAnsi="Verdana"/>
          <w:sz w:val="20"/>
          <w:szCs w:val="20"/>
          <w:lang w:val="es-ES"/>
        </w:rPr>
        <w:t>trabalho</w:t>
      </w:r>
      <w:proofErr w:type="spellEnd"/>
      <w:r w:rsidR="007D698A" w:rsidRPr="007D698A">
        <w:rPr>
          <w:rFonts w:ascii="Verdana" w:hAnsi="Verdana"/>
          <w:sz w:val="20"/>
          <w:szCs w:val="20"/>
          <w:lang w:val="es-ES"/>
        </w:rPr>
        <w:t xml:space="preserve"> </w:t>
      </w:r>
      <w:proofErr w:type="spellStart"/>
      <w:r w:rsidR="007D698A" w:rsidRPr="007D698A">
        <w:rPr>
          <w:rFonts w:ascii="Verdana" w:hAnsi="Verdana"/>
          <w:sz w:val="20"/>
          <w:szCs w:val="20"/>
          <w:lang w:val="es-ES"/>
        </w:rPr>
        <w:t>desenvolveu</w:t>
      </w:r>
      <w:proofErr w:type="spellEnd"/>
      <w:r w:rsidR="007D698A" w:rsidRPr="007D698A">
        <w:rPr>
          <w:rFonts w:ascii="Verdana" w:hAnsi="Verdana"/>
          <w:sz w:val="20"/>
          <w:szCs w:val="20"/>
          <w:lang w:val="es-ES"/>
        </w:rPr>
        <w:t xml:space="preserve">-se por </w:t>
      </w:r>
      <w:proofErr w:type="spellStart"/>
      <w:r w:rsidR="007D698A" w:rsidRPr="007D698A">
        <w:rPr>
          <w:rFonts w:ascii="Verdana" w:hAnsi="Verdana"/>
          <w:sz w:val="20"/>
          <w:szCs w:val="20"/>
          <w:lang w:val="es-ES"/>
        </w:rPr>
        <w:t>meio</w:t>
      </w:r>
      <w:proofErr w:type="spellEnd"/>
      <w:r w:rsidR="007D698A" w:rsidRPr="007D698A">
        <w:rPr>
          <w:rFonts w:ascii="Verdana" w:hAnsi="Verdana"/>
          <w:sz w:val="20"/>
          <w:szCs w:val="20"/>
          <w:lang w:val="es-ES"/>
        </w:rPr>
        <w:t xml:space="preserve"> do método </w:t>
      </w:r>
      <w:proofErr w:type="spellStart"/>
      <w:r w:rsidR="007D698A" w:rsidRPr="007D698A">
        <w:rPr>
          <w:rFonts w:ascii="Verdana" w:hAnsi="Verdana"/>
          <w:sz w:val="20"/>
          <w:szCs w:val="20"/>
          <w:lang w:val="es-ES"/>
        </w:rPr>
        <w:t>dedutivo</w:t>
      </w:r>
      <w:proofErr w:type="spellEnd"/>
      <w:r w:rsidR="007D698A" w:rsidRPr="007D698A">
        <w:rPr>
          <w:rFonts w:ascii="Verdana" w:hAnsi="Verdana"/>
          <w:sz w:val="20"/>
          <w:szCs w:val="20"/>
          <w:lang w:val="es-ES"/>
        </w:rPr>
        <w:t xml:space="preserve"> e da técnica de pesquisa bibliográfica.</w:t>
      </w:r>
    </w:p>
    <w:p w14:paraId="6D97D033" w14:textId="77777777" w:rsidR="00DE0A30" w:rsidRPr="00BD7AA6" w:rsidRDefault="00DE0A30" w:rsidP="00DE0A30">
      <w:pPr>
        <w:spacing w:after="0" w:line="240" w:lineRule="auto"/>
        <w:jc w:val="both"/>
        <w:rPr>
          <w:rStyle w:val="Ttulo1Char"/>
          <w:rFonts w:ascii="Verdana" w:eastAsia="Calibri" w:hAnsi="Verdana"/>
          <w:color w:val="auto"/>
          <w:sz w:val="20"/>
          <w:szCs w:val="20"/>
          <w:lang w:val="es-ES"/>
        </w:rPr>
      </w:pPr>
    </w:p>
    <w:p w14:paraId="52A67963" w14:textId="232902C9" w:rsidR="00626D63" w:rsidRPr="00297F18" w:rsidRDefault="00C44E1B" w:rsidP="00DE0A30">
      <w:pPr>
        <w:spacing w:after="0" w:line="240" w:lineRule="auto"/>
        <w:jc w:val="both"/>
        <w:rPr>
          <w:rFonts w:ascii="Verdana" w:hAnsi="Verdana" w:cs="Arial"/>
          <w:sz w:val="20"/>
          <w:szCs w:val="20"/>
          <w:lang w:val="es-ES_tradnl"/>
        </w:rPr>
      </w:pPr>
      <w:r w:rsidRPr="00297F18">
        <w:rPr>
          <w:rStyle w:val="Ttulo1Char"/>
          <w:rFonts w:ascii="Verdana" w:eastAsia="Calibri" w:hAnsi="Verdana"/>
          <w:color w:val="auto"/>
          <w:sz w:val="20"/>
          <w:szCs w:val="20"/>
          <w:lang w:val="es-ES_tradnl"/>
        </w:rPr>
        <w:t>Pala</w:t>
      </w:r>
      <w:r w:rsidR="00297F18" w:rsidRPr="00297F18">
        <w:rPr>
          <w:rStyle w:val="Ttulo1Char"/>
          <w:rFonts w:ascii="Verdana" w:eastAsia="Calibri" w:hAnsi="Verdana"/>
          <w:color w:val="auto"/>
          <w:sz w:val="20"/>
          <w:szCs w:val="20"/>
          <w:lang w:val="es-ES_tradnl"/>
        </w:rPr>
        <w:t>b</w:t>
      </w:r>
      <w:r w:rsidRPr="00297F18">
        <w:rPr>
          <w:rStyle w:val="Ttulo1Char"/>
          <w:rFonts w:ascii="Verdana" w:eastAsia="Calibri" w:hAnsi="Verdana"/>
          <w:color w:val="auto"/>
          <w:sz w:val="20"/>
          <w:szCs w:val="20"/>
          <w:lang w:val="es-ES_tradnl"/>
        </w:rPr>
        <w:t>ras c</w:t>
      </w:r>
      <w:r w:rsidR="00297F18" w:rsidRPr="00297F18">
        <w:rPr>
          <w:rStyle w:val="Ttulo1Char"/>
          <w:rFonts w:ascii="Verdana" w:eastAsia="Calibri" w:hAnsi="Verdana"/>
          <w:color w:val="auto"/>
          <w:sz w:val="20"/>
          <w:szCs w:val="20"/>
          <w:lang w:val="es-ES_tradnl"/>
        </w:rPr>
        <w:t>l</w:t>
      </w:r>
      <w:r w:rsidRPr="00297F18">
        <w:rPr>
          <w:rStyle w:val="Ttulo1Char"/>
          <w:rFonts w:ascii="Verdana" w:eastAsia="Calibri" w:hAnsi="Verdana"/>
          <w:color w:val="auto"/>
          <w:sz w:val="20"/>
          <w:szCs w:val="20"/>
          <w:lang w:val="es-ES_tradnl"/>
        </w:rPr>
        <w:t>ave</w:t>
      </w:r>
      <w:r w:rsidR="00626D63" w:rsidRPr="00297F18">
        <w:rPr>
          <w:rStyle w:val="Ttulo1Char"/>
          <w:rFonts w:ascii="Verdana" w:eastAsia="Calibri" w:hAnsi="Verdana"/>
          <w:color w:val="auto"/>
          <w:sz w:val="20"/>
          <w:szCs w:val="20"/>
          <w:lang w:val="es-ES_tradnl"/>
        </w:rPr>
        <w:t xml:space="preserve">: </w:t>
      </w:r>
      <w:proofErr w:type="spellStart"/>
      <w:r w:rsidR="007D698A" w:rsidRPr="007D698A">
        <w:rPr>
          <w:rFonts w:ascii="Verdana" w:hAnsi="Verdana"/>
          <w:sz w:val="20"/>
          <w:szCs w:val="20"/>
          <w:lang w:val="es-ES_tradnl"/>
        </w:rPr>
        <w:t>Globalização</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Crise</w:t>
      </w:r>
      <w:proofErr w:type="spellEnd"/>
      <w:r w:rsidR="007D698A" w:rsidRPr="007D698A">
        <w:rPr>
          <w:rFonts w:ascii="Verdana" w:hAnsi="Verdana"/>
          <w:sz w:val="20"/>
          <w:szCs w:val="20"/>
          <w:lang w:val="es-ES_tradnl"/>
        </w:rPr>
        <w:t>. Estado. Atores privados. Democracia.</w:t>
      </w:r>
    </w:p>
    <w:p w14:paraId="35AB3491" w14:textId="77777777" w:rsidR="00DE0A30" w:rsidRPr="00297F18" w:rsidRDefault="00DE0A30" w:rsidP="00DE0A30">
      <w:pPr>
        <w:spacing w:after="0" w:line="240" w:lineRule="auto"/>
        <w:jc w:val="both"/>
        <w:rPr>
          <w:rFonts w:ascii="Verdana" w:hAnsi="Verdana"/>
          <w:b/>
          <w:bCs/>
          <w:color w:val="000000" w:themeColor="text1"/>
          <w:sz w:val="20"/>
          <w:szCs w:val="20"/>
          <w:lang w:val="es-ES_tradnl"/>
        </w:rPr>
      </w:pPr>
    </w:p>
    <w:p w14:paraId="50CD89E9" w14:textId="1B9491CF" w:rsidR="00DE0A30" w:rsidRPr="00297F18" w:rsidRDefault="00BA5E13" w:rsidP="00DE0A30">
      <w:pPr>
        <w:spacing w:after="0" w:line="240" w:lineRule="auto"/>
        <w:jc w:val="both"/>
        <w:rPr>
          <w:rFonts w:ascii="Verdana" w:hAnsi="Verdana"/>
          <w:sz w:val="20"/>
          <w:szCs w:val="20"/>
          <w:lang w:val="es-ES_tradnl"/>
        </w:rPr>
      </w:pPr>
      <w:proofErr w:type="spellStart"/>
      <w:r w:rsidRPr="00297F18">
        <w:rPr>
          <w:rFonts w:ascii="Verdana" w:hAnsi="Verdana"/>
          <w:b/>
          <w:bCs/>
          <w:color w:val="000000" w:themeColor="text1"/>
          <w:sz w:val="20"/>
          <w:szCs w:val="20"/>
          <w:lang w:val="es-ES_tradnl"/>
        </w:rPr>
        <w:t>Abstract</w:t>
      </w:r>
      <w:bookmarkEnd w:id="0"/>
      <w:proofErr w:type="spellEnd"/>
      <w:r w:rsidR="00F04D5E" w:rsidRPr="00297F18">
        <w:rPr>
          <w:rFonts w:ascii="Verdana" w:hAnsi="Verdana"/>
          <w:color w:val="000000" w:themeColor="text1"/>
          <w:sz w:val="20"/>
          <w:szCs w:val="20"/>
          <w:lang w:val="es-ES_tradnl"/>
        </w:rPr>
        <w:t xml:space="preserve">: </w:t>
      </w:r>
      <w:proofErr w:type="spellStart"/>
      <w:r w:rsidR="007D698A" w:rsidRPr="007D698A">
        <w:rPr>
          <w:rFonts w:ascii="Verdana" w:hAnsi="Verdana"/>
          <w:sz w:val="20"/>
          <w:szCs w:val="20"/>
          <w:lang w:val="es-ES_tradnl"/>
        </w:rPr>
        <w:t>The</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present</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research</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is</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concerned</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with</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relating</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the</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themes</w:t>
      </w:r>
      <w:proofErr w:type="spellEnd"/>
      <w:r w:rsidR="007D698A" w:rsidRPr="007D698A">
        <w:rPr>
          <w:rFonts w:ascii="Verdana" w:hAnsi="Verdana"/>
          <w:sz w:val="20"/>
          <w:szCs w:val="20"/>
          <w:lang w:val="es-ES_tradnl"/>
        </w:rPr>
        <w:t xml:space="preserve"> of </w:t>
      </w:r>
      <w:proofErr w:type="spellStart"/>
      <w:r w:rsidR="007D698A" w:rsidRPr="007D698A">
        <w:rPr>
          <w:rFonts w:ascii="Verdana" w:hAnsi="Verdana"/>
          <w:sz w:val="20"/>
          <w:szCs w:val="20"/>
          <w:lang w:val="es-ES_tradnl"/>
        </w:rPr>
        <w:t>globalization</w:t>
      </w:r>
      <w:proofErr w:type="spellEnd"/>
      <w:r w:rsidR="007D698A" w:rsidRPr="007D698A">
        <w:rPr>
          <w:rFonts w:ascii="Verdana" w:hAnsi="Verdana"/>
          <w:sz w:val="20"/>
          <w:szCs w:val="20"/>
          <w:lang w:val="es-ES_tradnl"/>
        </w:rPr>
        <w:t xml:space="preserve"> and </w:t>
      </w:r>
      <w:proofErr w:type="spellStart"/>
      <w:r w:rsidR="007D698A" w:rsidRPr="007D698A">
        <w:rPr>
          <w:rFonts w:ascii="Verdana" w:hAnsi="Verdana"/>
          <w:sz w:val="20"/>
          <w:szCs w:val="20"/>
          <w:lang w:val="es-ES_tradnl"/>
        </w:rPr>
        <w:t>the</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state</w:t>
      </w:r>
      <w:proofErr w:type="spellEnd"/>
      <w:r w:rsidR="007D698A" w:rsidRPr="007D698A">
        <w:rPr>
          <w:rFonts w:ascii="Verdana" w:hAnsi="Verdana"/>
          <w:sz w:val="20"/>
          <w:szCs w:val="20"/>
          <w:lang w:val="es-ES_tradnl"/>
        </w:rPr>
        <w:t xml:space="preserve"> crisis and </w:t>
      </w:r>
      <w:proofErr w:type="spellStart"/>
      <w:r w:rsidR="007D698A" w:rsidRPr="007D698A">
        <w:rPr>
          <w:rFonts w:ascii="Verdana" w:hAnsi="Verdana"/>
          <w:sz w:val="20"/>
          <w:szCs w:val="20"/>
          <w:lang w:val="es-ES_tradnl"/>
        </w:rPr>
        <w:t>the</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impacts</w:t>
      </w:r>
      <w:proofErr w:type="spellEnd"/>
      <w:r w:rsidR="007D698A" w:rsidRPr="007D698A">
        <w:rPr>
          <w:rFonts w:ascii="Verdana" w:hAnsi="Verdana"/>
          <w:sz w:val="20"/>
          <w:szCs w:val="20"/>
          <w:lang w:val="es-ES_tradnl"/>
        </w:rPr>
        <w:t xml:space="preserve"> of </w:t>
      </w:r>
      <w:proofErr w:type="spellStart"/>
      <w:r w:rsidR="007D698A" w:rsidRPr="007D698A">
        <w:rPr>
          <w:rFonts w:ascii="Verdana" w:hAnsi="Verdana"/>
          <w:sz w:val="20"/>
          <w:szCs w:val="20"/>
          <w:lang w:val="es-ES_tradnl"/>
        </w:rPr>
        <w:t>the</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protagonism</w:t>
      </w:r>
      <w:proofErr w:type="spellEnd"/>
      <w:r w:rsidR="007D698A" w:rsidRPr="007D698A">
        <w:rPr>
          <w:rFonts w:ascii="Verdana" w:hAnsi="Verdana"/>
          <w:sz w:val="20"/>
          <w:szCs w:val="20"/>
          <w:lang w:val="es-ES_tradnl"/>
        </w:rPr>
        <w:t xml:space="preserve"> of </w:t>
      </w:r>
      <w:proofErr w:type="spellStart"/>
      <w:r w:rsidR="007D698A" w:rsidRPr="007D698A">
        <w:rPr>
          <w:rFonts w:ascii="Verdana" w:hAnsi="Verdana"/>
          <w:sz w:val="20"/>
          <w:szCs w:val="20"/>
          <w:lang w:val="es-ES_tradnl"/>
        </w:rPr>
        <w:t>private</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actors</w:t>
      </w:r>
      <w:proofErr w:type="spellEnd"/>
      <w:r w:rsidR="007D698A" w:rsidRPr="007D698A">
        <w:rPr>
          <w:rFonts w:ascii="Verdana" w:hAnsi="Verdana"/>
          <w:sz w:val="20"/>
          <w:szCs w:val="20"/>
          <w:lang w:val="es-ES_tradnl"/>
        </w:rPr>
        <w:t xml:space="preserve"> in </w:t>
      </w:r>
      <w:proofErr w:type="spellStart"/>
      <w:r w:rsidR="007D698A" w:rsidRPr="007D698A">
        <w:rPr>
          <w:rFonts w:ascii="Verdana" w:hAnsi="Verdana"/>
          <w:sz w:val="20"/>
          <w:szCs w:val="20"/>
          <w:lang w:val="es-ES_tradnl"/>
        </w:rPr>
        <w:t>the</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democratic</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sphere</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Thus</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it</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seeks</w:t>
      </w:r>
      <w:proofErr w:type="spellEnd"/>
      <w:r w:rsidR="007D698A" w:rsidRPr="007D698A">
        <w:rPr>
          <w:rFonts w:ascii="Verdana" w:hAnsi="Verdana"/>
          <w:sz w:val="20"/>
          <w:szCs w:val="20"/>
          <w:lang w:val="es-ES_tradnl"/>
        </w:rPr>
        <w:t xml:space="preserve"> to </w:t>
      </w:r>
      <w:proofErr w:type="spellStart"/>
      <w:r w:rsidR="007D698A" w:rsidRPr="007D698A">
        <w:rPr>
          <w:rFonts w:ascii="Verdana" w:hAnsi="Verdana"/>
          <w:sz w:val="20"/>
          <w:szCs w:val="20"/>
          <w:lang w:val="es-ES_tradnl"/>
        </w:rPr>
        <w:t>work</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with</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current</w:t>
      </w:r>
      <w:proofErr w:type="spellEnd"/>
      <w:r w:rsidR="007D698A" w:rsidRPr="007D698A">
        <w:rPr>
          <w:rFonts w:ascii="Verdana" w:hAnsi="Verdana"/>
          <w:sz w:val="20"/>
          <w:szCs w:val="20"/>
          <w:lang w:val="es-ES_tradnl"/>
        </w:rPr>
        <w:t xml:space="preserve"> and </w:t>
      </w:r>
      <w:proofErr w:type="spellStart"/>
      <w:r w:rsidR="007D698A" w:rsidRPr="007D698A">
        <w:rPr>
          <w:rFonts w:ascii="Verdana" w:hAnsi="Verdana"/>
          <w:sz w:val="20"/>
          <w:szCs w:val="20"/>
          <w:lang w:val="es-ES_tradnl"/>
        </w:rPr>
        <w:t>relevant</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categories</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such</w:t>
      </w:r>
      <w:proofErr w:type="spellEnd"/>
      <w:r w:rsidR="007D698A" w:rsidRPr="007D698A">
        <w:rPr>
          <w:rFonts w:ascii="Verdana" w:hAnsi="Verdana"/>
          <w:sz w:val="20"/>
          <w:szCs w:val="20"/>
          <w:lang w:val="es-ES_tradnl"/>
        </w:rPr>
        <w:t xml:space="preserve"> as </w:t>
      </w:r>
      <w:proofErr w:type="spellStart"/>
      <w:r w:rsidR="007D698A" w:rsidRPr="007D698A">
        <w:rPr>
          <w:rFonts w:ascii="Verdana" w:hAnsi="Verdana"/>
          <w:sz w:val="20"/>
          <w:szCs w:val="20"/>
          <w:lang w:val="es-ES_tradnl"/>
        </w:rPr>
        <w:t>the</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world</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plutocracy</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the</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oligarchy</w:t>
      </w:r>
      <w:proofErr w:type="spellEnd"/>
      <w:r w:rsidR="007D698A" w:rsidRPr="007D698A">
        <w:rPr>
          <w:rFonts w:ascii="Verdana" w:hAnsi="Verdana"/>
          <w:sz w:val="20"/>
          <w:szCs w:val="20"/>
          <w:lang w:val="es-ES_tradnl"/>
        </w:rPr>
        <w:t xml:space="preserve"> and </w:t>
      </w:r>
      <w:proofErr w:type="spellStart"/>
      <w:r w:rsidR="007D698A" w:rsidRPr="007D698A">
        <w:rPr>
          <w:rFonts w:ascii="Verdana" w:hAnsi="Verdana"/>
          <w:sz w:val="20"/>
          <w:szCs w:val="20"/>
          <w:lang w:val="es-ES_tradnl"/>
        </w:rPr>
        <w:t>polyarchy</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Based</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on</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these</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themes</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the</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purpose</w:t>
      </w:r>
      <w:proofErr w:type="spellEnd"/>
      <w:r w:rsidR="007D698A" w:rsidRPr="007D698A">
        <w:rPr>
          <w:rFonts w:ascii="Verdana" w:hAnsi="Verdana"/>
          <w:sz w:val="20"/>
          <w:szCs w:val="20"/>
          <w:lang w:val="es-ES_tradnl"/>
        </w:rPr>
        <w:t xml:space="preserve"> of </w:t>
      </w:r>
      <w:proofErr w:type="spellStart"/>
      <w:r w:rsidR="007D698A" w:rsidRPr="007D698A">
        <w:rPr>
          <w:rFonts w:ascii="Verdana" w:hAnsi="Verdana"/>
          <w:sz w:val="20"/>
          <w:szCs w:val="20"/>
          <w:lang w:val="es-ES_tradnl"/>
        </w:rPr>
        <w:t>the</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research</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is</w:t>
      </w:r>
      <w:proofErr w:type="spellEnd"/>
      <w:r w:rsidR="007D698A" w:rsidRPr="007D698A">
        <w:rPr>
          <w:rFonts w:ascii="Verdana" w:hAnsi="Verdana"/>
          <w:sz w:val="20"/>
          <w:szCs w:val="20"/>
          <w:lang w:val="es-ES_tradnl"/>
        </w:rPr>
        <w:t xml:space="preserve"> to </w:t>
      </w:r>
      <w:proofErr w:type="spellStart"/>
      <w:r w:rsidR="007D698A" w:rsidRPr="007D698A">
        <w:rPr>
          <w:rFonts w:ascii="Verdana" w:hAnsi="Verdana"/>
          <w:sz w:val="20"/>
          <w:szCs w:val="20"/>
          <w:lang w:val="es-ES_tradnl"/>
        </w:rPr>
        <w:t>answer</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the</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following</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problem</w:t>
      </w:r>
      <w:proofErr w:type="spellEnd"/>
      <w:r w:rsidR="007D698A" w:rsidRPr="007D698A">
        <w:rPr>
          <w:rFonts w:ascii="Verdana" w:hAnsi="Verdana"/>
          <w:sz w:val="20"/>
          <w:szCs w:val="20"/>
          <w:lang w:val="es-ES_tradnl"/>
        </w:rPr>
        <w:t xml:space="preserve">: in </w:t>
      </w:r>
      <w:proofErr w:type="spellStart"/>
      <w:r w:rsidR="007D698A" w:rsidRPr="007D698A">
        <w:rPr>
          <w:rFonts w:ascii="Verdana" w:hAnsi="Verdana"/>
          <w:sz w:val="20"/>
          <w:szCs w:val="20"/>
          <w:lang w:val="es-ES_tradnl"/>
        </w:rPr>
        <w:t>the</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context</w:t>
      </w:r>
      <w:proofErr w:type="spellEnd"/>
      <w:r w:rsidR="007D698A" w:rsidRPr="007D698A">
        <w:rPr>
          <w:rFonts w:ascii="Verdana" w:hAnsi="Verdana"/>
          <w:sz w:val="20"/>
          <w:szCs w:val="20"/>
          <w:lang w:val="es-ES_tradnl"/>
        </w:rPr>
        <w:t xml:space="preserve"> of </w:t>
      </w:r>
      <w:proofErr w:type="spellStart"/>
      <w:r w:rsidR="007D698A" w:rsidRPr="007D698A">
        <w:rPr>
          <w:rFonts w:ascii="Verdana" w:hAnsi="Verdana"/>
          <w:sz w:val="20"/>
          <w:szCs w:val="20"/>
          <w:lang w:val="es-ES_tradnl"/>
        </w:rPr>
        <w:lastRenderedPageBreak/>
        <w:t>globalization</w:t>
      </w:r>
      <w:proofErr w:type="spellEnd"/>
      <w:r w:rsidR="007D698A" w:rsidRPr="007D698A">
        <w:rPr>
          <w:rFonts w:ascii="Verdana" w:hAnsi="Verdana"/>
          <w:sz w:val="20"/>
          <w:szCs w:val="20"/>
          <w:lang w:val="es-ES_tradnl"/>
        </w:rPr>
        <w:t xml:space="preserve"> and crisis of </w:t>
      </w:r>
      <w:proofErr w:type="spellStart"/>
      <w:r w:rsidR="007D698A" w:rsidRPr="007D698A">
        <w:rPr>
          <w:rFonts w:ascii="Verdana" w:hAnsi="Verdana"/>
          <w:sz w:val="20"/>
          <w:szCs w:val="20"/>
          <w:lang w:val="es-ES_tradnl"/>
        </w:rPr>
        <w:t>state</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how</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does</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the</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emergence</w:t>
      </w:r>
      <w:proofErr w:type="spellEnd"/>
      <w:r w:rsidR="007D698A" w:rsidRPr="007D698A">
        <w:rPr>
          <w:rFonts w:ascii="Verdana" w:hAnsi="Verdana"/>
          <w:sz w:val="20"/>
          <w:szCs w:val="20"/>
          <w:lang w:val="es-ES_tradnl"/>
        </w:rPr>
        <w:t xml:space="preserve"> and </w:t>
      </w:r>
      <w:proofErr w:type="spellStart"/>
      <w:r w:rsidR="007D698A" w:rsidRPr="007D698A">
        <w:rPr>
          <w:rFonts w:ascii="Verdana" w:hAnsi="Verdana"/>
          <w:sz w:val="20"/>
          <w:szCs w:val="20"/>
          <w:lang w:val="es-ES_tradnl"/>
        </w:rPr>
        <w:t>protagonism</w:t>
      </w:r>
      <w:proofErr w:type="spellEnd"/>
      <w:r w:rsidR="007D698A" w:rsidRPr="007D698A">
        <w:rPr>
          <w:rFonts w:ascii="Verdana" w:hAnsi="Verdana"/>
          <w:sz w:val="20"/>
          <w:szCs w:val="20"/>
          <w:lang w:val="es-ES_tradnl"/>
        </w:rPr>
        <w:t xml:space="preserve"> of </w:t>
      </w:r>
      <w:proofErr w:type="spellStart"/>
      <w:r w:rsidR="007D698A" w:rsidRPr="007D698A">
        <w:rPr>
          <w:rFonts w:ascii="Verdana" w:hAnsi="Verdana"/>
          <w:sz w:val="20"/>
          <w:szCs w:val="20"/>
          <w:lang w:val="es-ES_tradnl"/>
        </w:rPr>
        <w:t>private</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actors</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impact</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democratic</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institutions</w:t>
      </w:r>
      <w:proofErr w:type="spellEnd"/>
      <w:r w:rsidR="007D698A" w:rsidRPr="007D698A">
        <w:rPr>
          <w:rFonts w:ascii="Verdana" w:hAnsi="Verdana"/>
          <w:sz w:val="20"/>
          <w:szCs w:val="20"/>
          <w:lang w:val="es-ES_tradnl"/>
        </w:rPr>
        <w:t xml:space="preserve">? In </w:t>
      </w:r>
      <w:proofErr w:type="spellStart"/>
      <w:r w:rsidR="007D698A" w:rsidRPr="007D698A">
        <w:rPr>
          <w:rFonts w:ascii="Verdana" w:hAnsi="Verdana"/>
          <w:sz w:val="20"/>
          <w:szCs w:val="20"/>
          <w:lang w:val="es-ES_tradnl"/>
        </w:rPr>
        <w:t>the</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end</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it</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is</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concluded</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that</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the</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advance</w:t>
      </w:r>
      <w:proofErr w:type="spellEnd"/>
      <w:r w:rsidR="007D698A" w:rsidRPr="007D698A">
        <w:rPr>
          <w:rFonts w:ascii="Verdana" w:hAnsi="Verdana"/>
          <w:sz w:val="20"/>
          <w:szCs w:val="20"/>
          <w:lang w:val="es-ES_tradnl"/>
        </w:rPr>
        <w:t xml:space="preserve"> of </w:t>
      </w:r>
      <w:proofErr w:type="spellStart"/>
      <w:r w:rsidR="007D698A" w:rsidRPr="007D698A">
        <w:rPr>
          <w:rFonts w:ascii="Verdana" w:hAnsi="Verdana"/>
          <w:sz w:val="20"/>
          <w:szCs w:val="20"/>
          <w:lang w:val="es-ES_tradnl"/>
        </w:rPr>
        <w:t>the</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globalization</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phenomenon</w:t>
      </w:r>
      <w:proofErr w:type="spellEnd"/>
      <w:r w:rsidR="007D698A" w:rsidRPr="007D698A">
        <w:rPr>
          <w:rFonts w:ascii="Verdana" w:hAnsi="Verdana"/>
          <w:sz w:val="20"/>
          <w:szCs w:val="20"/>
          <w:lang w:val="es-ES_tradnl"/>
        </w:rPr>
        <w:t xml:space="preserve"> and </w:t>
      </w:r>
      <w:proofErr w:type="spellStart"/>
      <w:r w:rsidR="007D698A" w:rsidRPr="007D698A">
        <w:rPr>
          <w:rFonts w:ascii="Verdana" w:hAnsi="Verdana"/>
          <w:sz w:val="20"/>
          <w:szCs w:val="20"/>
          <w:lang w:val="es-ES_tradnl"/>
        </w:rPr>
        <w:t>the</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emergence</w:t>
      </w:r>
      <w:proofErr w:type="spellEnd"/>
      <w:r w:rsidR="007D698A" w:rsidRPr="007D698A">
        <w:rPr>
          <w:rFonts w:ascii="Verdana" w:hAnsi="Verdana"/>
          <w:sz w:val="20"/>
          <w:szCs w:val="20"/>
          <w:lang w:val="es-ES_tradnl"/>
        </w:rPr>
        <w:t xml:space="preserve"> of </w:t>
      </w:r>
      <w:proofErr w:type="spellStart"/>
      <w:r w:rsidR="007D698A" w:rsidRPr="007D698A">
        <w:rPr>
          <w:rFonts w:ascii="Verdana" w:hAnsi="Verdana"/>
          <w:sz w:val="20"/>
          <w:szCs w:val="20"/>
          <w:lang w:val="es-ES_tradnl"/>
        </w:rPr>
        <w:t>private</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actors</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resulted</w:t>
      </w:r>
      <w:proofErr w:type="spellEnd"/>
      <w:r w:rsidR="007D698A" w:rsidRPr="007D698A">
        <w:rPr>
          <w:rFonts w:ascii="Verdana" w:hAnsi="Verdana"/>
          <w:sz w:val="20"/>
          <w:szCs w:val="20"/>
          <w:lang w:val="es-ES_tradnl"/>
        </w:rPr>
        <w:t xml:space="preserve"> in a crisis </w:t>
      </w:r>
      <w:proofErr w:type="spellStart"/>
      <w:r w:rsidR="007D698A" w:rsidRPr="007D698A">
        <w:rPr>
          <w:rFonts w:ascii="Verdana" w:hAnsi="Verdana"/>
          <w:sz w:val="20"/>
          <w:szCs w:val="20"/>
          <w:lang w:val="es-ES_tradnl"/>
        </w:rPr>
        <w:t>scenario</w:t>
      </w:r>
      <w:proofErr w:type="spellEnd"/>
      <w:r w:rsidR="007D698A" w:rsidRPr="007D698A">
        <w:rPr>
          <w:rFonts w:ascii="Verdana" w:hAnsi="Verdana"/>
          <w:sz w:val="20"/>
          <w:szCs w:val="20"/>
          <w:lang w:val="es-ES_tradnl"/>
        </w:rPr>
        <w:t xml:space="preserve">, in </w:t>
      </w:r>
      <w:proofErr w:type="spellStart"/>
      <w:r w:rsidR="007D698A" w:rsidRPr="007D698A">
        <w:rPr>
          <w:rFonts w:ascii="Verdana" w:hAnsi="Verdana"/>
          <w:sz w:val="20"/>
          <w:szCs w:val="20"/>
          <w:lang w:val="es-ES_tradnl"/>
        </w:rPr>
        <w:t>which</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the</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normative</w:t>
      </w:r>
      <w:proofErr w:type="spellEnd"/>
      <w:r w:rsidR="007D698A" w:rsidRPr="007D698A">
        <w:rPr>
          <w:rFonts w:ascii="Verdana" w:hAnsi="Verdana"/>
          <w:sz w:val="20"/>
          <w:szCs w:val="20"/>
          <w:lang w:val="es-ES_tradnl"/>
        </w:rPr>
        <w:t xml:space="preserve"> role of </w:t>
      </w:r>
      <w:proofErr w:type="spellStart"/>
      <w:r w:rsidR="007D698A" w:rsidRPr="007D698A">
        <w:rPr>
          <w:rFonts w:ascii="Verdana" w:hAnsi="Verdana"/>
          <w:sz w:val="20"/>
          <w:szCs w:val="20"/>
          <w:lang w:val="es-ES_tradnl"/>
        </w:rPr>
        <w:t>state</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law</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is</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emptied</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by</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the</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weakening</w:t>
      </w:r>
      <w:proofErr w:type="spellEnd"/>
      <w:r w:rsidR="007D698A" w:rsidRPr="007D698A">
        <w:rPr>
          <w:rFonts w:ascii="Verdana" w:hAnsi="Verdana"/>
          <w:sz w:val="20"/>
          <w:szCs w:val="20"/>
          <w:lang w:val="es-ES_tradnl"/>
        </w:rPr>
        <w:t xml:space="preserve"> of </w:t>
      </w:r>
      <w:proofErr w:type="spellStart"/>
      <w:r w:rsidR="007D698A" w:rsidRPr="007D698A">
        <w:rPr>
          <w:rFonts w:ascii="Verdana" w:hAnsi="Verdana"/>
          <w:sz w:val="20"/>
          <w:szCs w:val="20"/>
          <w:lang w:val="es-ES_tradnl"/>
        </w:rPr>
        <w:t>state</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sovereignty</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especially</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with</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regard</w:t>
      </w:r>
      <w:proofErr w:type="spellEnd"/>
      <w:r w:rsidR="007D698A" w:rsidRPr="007D698A">
        <w:rPr>
          <w:rFonts w:ascii="Verdana" w:hAnsi="Verdana"/>
          <w:sz w:val="20"/>
          <w:szCs w:val="20"/>
          <w:lang w:val="es-ES_tradnl"/>
        </w:rPr>
        <w:t xml:space="preserve"> to </w:t>
      </w:r>
      <w:proofErr w:type="spellStart"/>
      <w:r w:rsidR="007D698A" w:rsidRPr="007D698A">
        <w:rPr>
          <w:rFonts w:ascii="Verdana" w:hAnsi="Verdana"/>
          <w:sz w:val="20"/>
          <w:szCs w:val="20"/>
          <w:lang w:val="es-ES_tradnl"/>
        </w:rPr>
        <w:t>its</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autonomy</w:t>
      </w:r>
      <w:proofErr w:type="spellEnd"/>
      <w:r w:rsidR="007D698A" w:rsidRPr="007D698A">
        <w:rPr>
          <w:rFonts w:ascii="Verdana" w:hAnsi="Verdana"/>
          <w:sz w:val="20"/>
          <w:szCs w:val="20"/>
          <w:lang w:val="es-ES_tradnl"/>
        </w:rPr>
        <w:t xml:space="preserve"> of </w:t>
      </w:r>
      <w:proofErr w:type="spellStart"/>
      <w:r w:rsidR="007D698A" w:rsidRPr="007D698A">
        <w:rPr>
          <w:rFonts w:ascii="Verdana" w:hAnsi="Verdana"/>
          <w:sz w:val="20"/>
          <w:szCs w:val="20"/>
          <w:lang w:val="es-ES_tradnl"/>
        </w:rPr>
        <w:t>decision</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From</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this</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perspective</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according</w:t>
      </w:r>
      <w:proofErr w:type="spellEnd"/>
      <w:r w:rsidR="007D698A" w:rsidRPr="007D698A">
        <w:rPr>
          <w:rFonts w:ascii="Verdana" w:hAnsi="Verdana"/>
          <w:sz w:val="20"/>
          <w:szCs w:val="20"/>
          <w:lang w:val="es-ES_tradnl"/>
        </w:rPr>
        <w:t xml:space="preserve"> to </w:t>
      </w:r>
      <w:proofErr w:type="spellStart"/>
      <w:r w:rsidR="007D698A" w:rsidRPr="007D698A">
        <w:rPr>
          <w:rFonts w:ascii="Verdana" w:hAnsi="Verdana"/>
          <w:sz w:val="20"/>
          <w:szCs w:val="20"/>
          <w:lang w:val="es-ES_tradnl"/>
        </w:rPr>
        <w:t>what</w:t>
      </w:r>
      <w:proofErr w:type="spellEnd"/>
      <w:r w:rsidR="007D698A" w:rsidRPr="007D698A">
        <w:rPr>
          <w:rFonts w:ascii="Verdana" w:hAnsi="Verdana"/>
          <w:sz w:val="20"/>
          <w:szCs w:val="20"/>
          <w:lang w:val="es-ES_tradnl"/>
        </w:rPr>
        <w:t xml:space="preserve"> has </w:t>
      </w:r>
      <w:proofErr w:type="spellStart"/>
      <w:r w:rsidR="007D698A" w:rsidRPr="007D698A">
        <w:rPr>
          <w:rFonts w:ascii="Verdana" w:hAnsi="Verdana"/>
          <w:sz w:val="20"/>
          <w:szCs w:val="20"/>
          <w:lang w:val="es-ES_tradnl"/>
        </w:rPr>
        <w:t>been</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shown</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the</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influence</w:t>
      </w:r>
      <w:proofErr w:type="spellEnd"/>
      <w:r w:rsidR="007D698A" w:rsidRPr="007D698A">
        <w:rPr>
          <w:rFonts w:ascii="Verdana" w:hAnsi="Verdana"/>
          <w:sz w:val="20"/>
          <w:szCs w:val="20"/>
          <w:lang w:val="es-ES_tradnl"/>
        </w:rPr>
        <w:t xml:space="preserve"> and </w:t>
      </w:r>
      <w:proofErr w:type="spellStart"/>
      <w:r w:rsidR="007D698A" w:rsidRPr="007D698A">
        <w:rPr>
          <w:rFonts w:ascii="Verdana" w:hAnsi="Verdana"/>
          <w:sz w:val="20"/>
          <w:szCs w:val="20"/>
          <w:lang w:val="es-ES_tradnl"/>
        </w:rPr>
        <w:t>protagonism</w:t>
      </w:r>
      <w:proofErr w:type="spellEnd"/>
      <w:r w:rsidR="007D698A" w:rsidRPr="007D698A">
        <w:rPr>
          <w:rFonts w:ascii="Verdana" w:hAnsi="Verdana"/>
          <w:sz w:val="20"/>
          <w:szCs w:val="20"/>
          <w:lang w:val="es-ES_tradnl"/>
        </w:rPr>
        <w:t xml:space="preserve"> of </w:t>
      </w:r>
      <w:proofErr w:type="spellStart"/>
      <w:r w:rsidR="007D698A" w:rsidRPr="007D698A">
        <w:rPr>
          <w:rFonts w:ascii="Verdana" w:hAnsi="Verdana"/>
          <w:sz w:val="20"/>
          <w:szCs w:val="20"/>
          <w:lang w:val="es-ES_tradnl"/>
        </w:rPr>
        <w:t>private</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actors</w:t>
      </w:r>
      <w:proofErr w:type="spellEnd"/>
      <w:r w:rsidR="007D698A" w:rsidRPr="007D698A">
        <w:rPr>
          <w:rFonts w:ascii="Verdana" w:hAnsi="Verdana"/>
          <w:sz w:val="20"/>
          <w:szCs w:val="20"/>
          <w:lang w:val="es-ES_tradnl"/>
        </w:rPr>
        <w:t xml:space="preserve"> has a </w:t>
      </w:r>
      <w:proofErr w:type="spellStart"/>
      <w:r w:rsidR="007D698A" w:rsidRPr="007D698A">
        <w:rPr>
          <w:rFonts w:ascii="Verdana" w:hAnsi="Verdana"/>
          <w:sz w:val="20"/>
          <w:szCs w:val="20"/>
          <w:lang w:val="es-ES_tradnl"/>
        </w:rPr>
        <w:t>negative</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impact</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on</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democratic</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institutions</w:t>
      </w:r>
      <w:proofErr w:type="spellEnd"/>
      <w:r w:rsidR="007D698A" w:rsidRPr="007D698A">
        <w:rPr>
          <w:rFonts w:ascii="Verdana" w:hAnsi="Verdana"/>
          <w:sz w:val="20"/>
          <w:szCs w:val="20"/>
          <w:lang w:val="es-ES_tradnl"/>
        </w:rPr>
        <w:t xml:space="preserve">, as </w:t>
      </w:r>
      <w:proofErr w:type="spellStart"/>
      <w:r w:rsidR="007D698A" w:rsidRPr="007D698A">
        <w:rPr>
          <w:rFonts w:ascii="Verdana" w:hAnsi="Verdana"/>
          <w:sz w:val="20"/>
          <w:szCs w:val="20"/>
          <w:lang w:val="es-ES_tradnl"/>
        </w:rPr>
        <w:t>the</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overlapping</w:t>
      </w:r>
      <w:proofErr w:type="spellEnd"/>
      <w:r w:rsidR="007D698A" w:rsidRPr="007D698A">
        <w:rPr>
          <w:rFonts w:ascii="Verdana" w:hAnsi="Verdana"/>
          <w:sz w:val="20"/>
          <w:szCs w:val="20"/>
          <w:lang w:val="es-ES_tradnl"/>
        </w:rPr>
        <w:t xml:space="preserve"> of </w:t>
      </w:r>
      <w:proofErr w:type="spellStart"/>
      <w:r w:rsidR="007D698A" w:rsidRPr="007D698A">
        <w:rPr>
          <w:rFonts w:ascii="Verdana" w:hAnsi="Verdana"/>
          <w:sz w:val="20"/>
          <w:szCs w:val="20"/>
          <w:lang w:val="es-ES_tradnl"/>
        </w:rPr>
        <w:t>economic</w:t>
      </w:r>
      <w:proofErr w:type="spellEnd"/>
      <w:r w:rsidR="007D698A" w:rsidRPr="007D698A">
        <w:rPr>
          <w:rFonts w:ascii="Verdana" w:hAnsi="Verdana"/>
          <w:sz w:val="20"/>
          <w:szCs w:val="20"/>
          <w:lang w:val="es-ES_tradnl"/>
        </w:rPr>
        <w:t xml:space="preserve"> and </w:t>
      </w:r>
      <w:proofErr w:type="spellStart"/>
      <w:r w:rsidR="007D698A" w:rsidRPr="007D698A">
        <w:rPr>
          <w:rFonts w:ascii="Verdana" w:hAnsi="Verdana"/>
          <w:sz w:val="20"/>
          <w:szCs w:val="20"/>
          <w:lang w:val="es-ES_tradnl"/>
        </w:rPr>
        <w:t>financial</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powers</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over</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public</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authorities</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results</w:t>
      </w:r>
      <w:proofErr w:type="spellEnd"/>
      <w:r w:rsidR="007D698A" w:rsidRPr="007D698A">
        <w:rPr>
          <w:rFonts w:ascii="Verdana" w:hAnsi="Verdana"/>
          <w:sz w:val="20"/>
          <w:szCs w:val="20"/>
          <w:lang w:val="es-ES_tradnl"/>
        </w:rPr>
        <w:t xml:space="preserve"> in </w:t>
      </w:r>
      <w:proofErr w:type="spellStart"/>
      <w:r w:rsidR="007D698A" w:rsidRPr="007D698A">
        <w:rPr>
          <w:rFonts w:ascii="Verdana" w:hAnsi="Verdana"/>
          <w:sz w:val="20"/>
          <w:szCs w:val="20"/>
          <w:lang w:val="es-ES_tradnl"/>
        </w:rPr>
        <w:t>damage</w:t>
      </w:r>
      <w:proofErr w:type="spellEnd"/>
      <w:r w:rsidR="007D698A" w:rsidRPr="007D698A">
        <w:rPr>
          <w:rFonts w:ascii="Verdana" w:hAnsi="Verdana"/>
          <w:sz w:val="20"/>
          <w:szCs w:val="20"/>
          <w:lang w:val="es-ES_tradnl"/>
        </w:rPr>
        <w:t xml:space="preserve"> to </w:t>
      </w:r>
      <w:proofErr w:type="spellStart"/>
      <w:r w:rsidR="007D698A" w:rsidRPr="007D698A">
        <w:rPr>
          <w:rFonts w:ascii="Verdana" w:hAnsi="Verdana"/>
          <w:sz w:val="20"/>
          <w:szCs w:val="20"/>
          <w:lang w:val="es-ES_tradnl"/>
        </w:rPr>
        <w:t>the</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guarantee</w:t>
      </w:r>
      <w:proofErr w:type="spellEnd"/>
      <w:r w:rsidR="007D698A" w:rsidRPr="007D698A">
        <w:rPr>
          <w:rFonts w:ascii="Verdana" w:hAnsi="Verdana"/>
          <w:sz w:val="20"/>
          <w:szCs w:val="20"/>
          <w:lang w:val="es-ES_tradnl"/>
        </w:rPr>
        <w:t xml:space="preserve"> of </w:t>
      </w:r>
      <w:proofErr w:type="spellStart"/>
      <w:r w:rsidR="007D698A" w:rsidRPr="007D698A">
        <w:rPr>
          <w:rFonts w:ascii="Verdana" w:hAnsi="Verdana"/>
          <w:sz w:val="20"/>
          <w:szCs w:val="20"/>
          <w:lang w:val="es-ES_tradnl"/>
        </w:rPr>
        <w:t>citizens</w:t>
      </w:r>
      <w:proofErr w:type="spellEnd"/>
      <w:r w:rsidR="007D698A" w:rsidRPr="007D698A">
        <w:rPr>
          <w:rFonts w:ascii="Verdana" w:hAnsi="Verdana"/>
          <w:sz w:val="20"/>
          <w:szCs w:val="20"/>
          <w:lang w:val="es-ES_tradnl"/>
        </w:rPr>
        <w:t xml:space="preserve">' fundamental </w:t>
      </w:r>
      <w:proofErr w:type="spellStart"/>
      <w:r w:rsidR="007D698A" w:rsidRPr="007D698A">
        <w:rPr>
          <w:rFonts w:ascii="Verdana" w:hAnsi="Verdana"/>
          <w:sz w:val="20"/>
          <w:szCs w:val="20"/>
          <w:lang w:val="es-ES_tradnl"/>
        </w:rPr>
        <w:t>rights</w:t>
      </w:r>
      <w:proofErr w:type="spellEnd"/>
      <w:r w:rsidR="007D698A" w:rsidRPr="007D698A">
        <w:rPr>
          <w:rFonts w:ascii="Verdana" w:hAnsi="Verdana"/>
          <w:sz w:val="20"/>
          <w:szCs w:val="20"/>
          <w:lang w:val="es-ES_tradnl"/>
        </w:rPr>
        <w:t xml:space="preserve">, as </w:t>
      </w:r>
      <w:proofErr w:type="spellStart"/>
      <w:r w:rsidR="007D698A" w:rsidRPr="007D698A">
        <w:rPr>
          <w:rFonts w:ascii="Verdana" w:hAnsi="Verdana"/>
          <w:sz w:val="20"/>
          <w:szCs w:val="20"/>
          <w:lang w:val="es-ES_tradnl"/>
        </w:rPr>
        <w:t>well</w:t>
      </w:r>
      <w:proofErr w:type="spellEnd"/>
      <w:r w:rsidR="007D698A" w:rsidRPr="007D698A">
        <w:rPr>
          <w:rFonts w:ascii="Verdana" w:hAnsi="Verdana"/>
          <w:sz w:val="20"/>
          <w:szCs w:val="20"/>
          <w:lang w:val="es-ES_tradnl"/>
        </w:rPr>
        <w:t xml:space="preserve"> as </w:t>
      </w:r>
      <w:proofErr w:type="spellStart"/>
      <w:r w:rsidR="007D698A" w:rsidRPr="007D698A">
        <w:rPr>
          <w:rFonts w:ascii="Verdana" w:hAnsi="Verdana"/>
          <w:sz w:val="20"/>
          <w:szCs w:val="20"/>
          <w:lang w:val="es-ES_tradnl"/>
        </w:rPr>
        <w:t>weakens</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democracy</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The</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work</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was</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developed</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through</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the</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deductive</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method</w:t>
      </w:r>
      <w:proofErr w:type="spellEnd"/>
      <w:r w:rsidR="007D698A" w:rsidRPr="007D698A">
        <w:rPr>
          <w:rFonts w:ascii="Verdana" w:hAnsi="Verdana"/>
          <w:sz w:val="20"/>
          <w:szCs w:val="20"/>
          <w:lang w:val="es-ES_tradnl"/>
        </w:rPr>
        <w:t xml:space="preserve"> and </w:t>
      </w:r>
      <w:proofErr w:type="spellStart"/>
      <w:r w:rsidR="007D698A" w:rsidRPr="007D698A">
        <w:rPr>
          <w:rFonts w:ascii="Verdana" w:hAnsi="Verdana"/>
          <w:sz w:val="20"/>
          <w:szCs w:val="20"/>
          <w:lang w:val="es-ES_tradnl"/>
        </w:rPr>
        <w:t>the</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technique</w:t>
      </w:r>
      <w:proofErr w:type="spellEnd"/>
      <w:r w:rsidR="007D698A" w:rsidRPr="007D698A">
        <w:rPr>
          <w:rFonts w:ascii="Verdana" w:hAnsi="Verdana"/>
          <w:sz w:val="20"/>
          <w:szCs w:val="20"/>
          <w:lang w:val="es-ES_tradnl"/>
        </w:rPr>
        <w:t xml:space="preserve"> of </w:t>
      </w:r>
      <w:proofErr w:type="spellStart"/>
      <w:r w:rsidR="007D698A" w:rsidRPr="007D698A">
        <w:rPr>
          <w:rFonts w:ascii="Verdana" w:hAnsi="Verdana"/>
          <w:sz w:val="20"/>
          <w:szCs w:val="20"/>
          <w:lang w:val="es-ES_tradnl"/>
        </w:rPr>
        <w:t>bibliographic</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research</w:t>
      </w:r>
      <w:proofErr w:type="spellEnd"/>
      <w:r w:rsidR="007D698A" w:rsidRPr="007D698A">
        <w:rPr>
          <w:rFonts w:ascii="Verdana" w:hAnsi="Verdana"/>
          <w:sz w:val="20"/>
          <w:szCs w:val="20"/>
          <w:lang w:val="es-ES_tradnl"/>
        </w:rPr>
        <w:t>.</w:t>
      </w:r>
    </w:p>
    <w:p w14:paraId="51A62868" w14:textId="77777777" w:rsidR="00DE0A30" w:rsidRPr="00297F18" w:rsidRDefault="00DE0A30" w:rsidP="00DE0A30">
      <w:pPr>
        <w:spacing w:after="0" w:line="240" w:lineRule="auto"/>
        <w:jc w:val="both"/>
        <w:rPr>
          <w:rStyle w:val="Ttulo1Char"/>
          <w:rFonts w:ascii="Verdana" w:eastAsia="Calibri" w:hAnsi="Verdana"/>
          <w:color w:val="auto"/>
          <w:sz w:val="20"/>
          <w:szCs w:val="20"/>
          <w:lang w:val="es-ES_tradnl"/>
        </w:rPr>
      </w:pPr>
      <w:bookmarkStart w:id="1" w:name="_Toc1565363"/>
    </w:p>
    <w:p w14:paraId="0813FA0C" w14:textId="0C50BC94" w:rsidR="00BA5E13" w:rsidRPr="00297F18" w:rsidRDefault="00BA5E13" w:rsidP="00DE0A30">
      <w:pPr>
        <w:spacing w:after="0" w:line="240" w:lineRule="auto"/>
        <w:jc w:val="both"/>
        <w:rPr>
          <w:rFonts w:ascii="Verdana" w:hAnsi="Verdana"/>
          <w:sz w:val="20"/>
          <w:szCs w:val="20"/>
          <w:lang w:val="es-ES_tradnl"/>
        </w:rPr>
      </w:pPr>
      <w:proofErr w:type="spellStart"/>
      <w:r w:rsidRPr="00297F18">
        <w:rPr>
          <w:rStyle w:val="Ttulo1Char"/>
          <w:rFonts w:ascii="Verdana" w:eastAsia="Calibri" w:hAnsi="Verdana"/>
          <w:color w:val="auto"/>
          <w:sz w:val="20"/>
          <w:szCs w:val="20"/>
          <w:lang w:val="es-ES_tradnl"/>
        </w:rPr>
        <w:t>Keywords</w:t>
      </w:r>
      <w:bookmarkEnd w:id="1"/>
      <w:proofErr w:type="spellEnd"/>
      <w:r w:rsidRPr="00297F18">
        <w:rPr>
          <w:rFonts w:ascii="Verdana" w:hAnsi="Verdana"/>
          <w:sz w:val="20"/>
          <w:szCs w:val="20"/>
          <w:lang w:val="es-ES_tradnl"/>
        </w:rPr>
        <w:t xml:space="preserve">: </w:t>
      </w:r>
      <w:proofErr w:type="spellStart"/>
      <w:r w:rsidR="007D698A" w:rsidRPr="007D698A">
        <w:rPr>
          <w:rFonts w:ascii="Verdana" w:hAnsi="Verdana"/>
          <w:sz w:val="20"/>
          <w:szCs w:val="20"/>
          <w:lang w:val="es-ES_tradnl"/>
        </w:rPr>
        <w:t>Globalization</w:t>
      </w:r>
      <w:proofErr w:type="spellEnd"/>
      <w:r w:rsidR="007D698A" w:rsidRPr="007D698A">
        <w:rPr>
          <w:rFonts w:ascii="Verdana" w:hAnsi="Verdana"/>
          <w:sz w:val="20"/>
          <w:szCs w:val="20"/>
          <w:lang w:val="es-ES_tradnl"/>
        </w:rPr>
        <w:t xml:space="preserve">. Crisis. </w:t>
      </w:r>
      <w:proofErr w:type="spellStart"/>
      <w:r w:rsidR="007D698A" w:rsidRPr="007D698A">
        <w:rPr>
          <w:rFonts w:ascii="Verdana" w:hAnsi="Verdana"/>
          <w:sz w:val="20"/>
          <w:szCs w:val="20"/>
          <w:lang w:val="es-ES_tradnl"/>
        </w:rPr>
        <w:t>State</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Private</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actors</w:t>
      </w:r>
      <w:proofErr w:type="spellEnd"/>
      <w:r w:rsidR="007D698A" w:rsidRPr="007D698A">
        <w:rPr>
          <w:rFonts w:ascii="Verdana" w:hAnsi="Verdana"/>
          <w:sz w:val="20"/>
          <w:szCs w:val="20"/>
          <w:lang w:val="es-ES_tradnl"/>
        </w:rPr>
        <w:t xml:space="preserve">. </w:t>
      </w:r>
      <w:proofErr w:type="spellStart"/>
      <w:r w:rsidR="007D698A" w:rsidRPr="007D698A">
        <w:rPr>
          <w:rFonts w:ascii="Verdana" w:hAnsi="Verdana"/>
          <w:sz w:val="20"/>
          <w:szCs w:val="20"/>
          <w:lang w:val="es-ES_tradnl"/>
        </w:rPr>
        <w:t>Democracy</w:t>
      </w:r>
      <w:proofErr w:type="spellEnd"/>
      <w:r w:rsidR="007D698A" w:rsidRPr="007D698A">
        <w:rPr>
          <w:rFonts w:ascii="Verdana" w:hAnsi="Verdana"/>
          <w:sz w:val="20"/>
          <w:szCs w:val="20"/>
          <w:lang w:val="es-ES_tradnl"/>
        </w:rPr>
        <w:t>.</w:t>
      </w:r>
    </w:p>
    <w:p w14:paraId="61FCE7A7" w14:textId="1A8CA2BA" w:rsidR="00DE0A30" w:rsidRDefault="00DE0A30" w:rsidP="0096030C">
      <w:pPr>
        <w:spacing w:after="0" w:line="240" w:lineRule="auto"/>
        <w:jc w:val="both"/>
        <w:rPr>
          <w:rFonts w:ascii="Verdana" w:hAnsi="Verdana"/>
          <w:color w:val="000000" w:themeColor="text1"/>
          <w:sz w:val="20"/>
          <w:szCs w:val="20"/>
          <w:lang w:val="es-ES_tradnl"/>
        </w:rPr>
      </w:pPr>
    </w:p>
    <w:p w14:paraId="204B7331" w14:textId="098EEC6E" w:rsidR="00297F18" w:rsidRDefault="00297F18" w:rsidP="00DE0A30">
      <w:pPr>
        <w:spacing w:after="0" w:line="240" w:lineRule="auto"/>
        <w:ind w:left="708" w:hanging="708"/>
        <w:jc w:val="both"/>
        <w:rPr>
          <w:rFonts w:ascii="Verdana" w:hAnsi="Verdana"/>
          <w:color w:val="000000" w:themeColor="text1"/>
          <w:sz w:val="20"/>
          <w:szCs w:val="20"/>
          <w:lang w:val="es-ES_tradnl"/>
        </w:rPr>
      </w:pPr>
    </w:p>
    <w:p w14:paraId="11995FFE" w14:textId="512E1B90" w:rsidR="007D698A" w:rsidRPr="007D698A" w:rsidRDefault="007D698A" w:rsidP="007D698A">
      <w:pPr>
        <w:spacing w:after="0" w:line="240" w:lineRule="auto"/>
        <w:jc w:val="both"/>
        <w:rPr>
          <w:rFonts w:ascii="Verdana" w:eastAsia="Times New Roman" w:hAnsi="Verdana"/>
          <w:b/>
          <w:sz w:val="20"/>
          <w:szCs w:val="20"/>
        </w:rPr>
      </w:pPr>
      <w:r w:rsidRPr="007D698A">
        <w:rPr>
          <w:rFonts w:ascii="Verdana" w:eastAsia="Times New Roman" w:hAnsi="Verdana"/>
          <w:b/>
          <w:sz w:val="20"/>
          <w:szCs w:val="20"/>
        </w:rPr>
        <w:t xml:space="preserve">1 </w:t>
      </w:r>
      <w:r w:rsidR="00A260CE" w:rsidRPr="007D698A">
        <w:rPr>
          <w:rFonts w:ascii="Verdana" w:eastAsia="Times New Roman" w:hAnsi="Verdana"/>
          <w:b/>
          <w:sz w:val="20"/>
          <w:szCs w:val="20"/>
        </w:rPr>
        <w:t>Introdução</w:t>
      </w:r>
    </w:p>
    <w:p w14:paraId="440458A8" w14:textId="77777777" w:rsidR="007D698A" w:rsidRPr="007D698A" w:rsidRDefault="007D698A" w:rsidP="007D698A">
      <w:pPr>
        <w:spacing w:after="0" w:line="240" w:lineRule="auto"/>
        <w:jc w:val="both"/>
        <w:rPr>
          <w:rFonts w:ascii="Verdana" w:eastAsia="Times New Roman" w:hAnsi="Verdana"/>
          <w:sz w:val="20"/>
          <w:szCs w:val="20"/>
        </w:rPr>
      </w:pPr>
    </w:p>
    <w:p w14:paraId="75CA0683" w14:textId="77777777" w:rsidR="007D698A" w:rsidRPr="007D698A" w:rsidRDefault="007D698A" w:rsidP="007D698A">
      <w:pPr>
        <w:spacing w:after="0" w:line="240" w:lineRule="auto"/>
        <w:ind w:firstLine="709"/>
        <w:jc w:val="both"/>
        <w:rPr>
          <w:rFonts w:ascii="Verdana" w:eastAsia="Times New Roman" w:hAnsi="Verdana"/>
          <w:sz w:val="20"/>
          <w:szCs w:val="20"/>
        </w:rPr>
      </w:pPr>
      <w:r w:rsidRPr="007D698A">
        <w:rPr>
          <w:rFonts w:ascii="Verdana" w:eastAsia="Times New Roman" w:hAnsi="Verdana"/>
          <w:sz w:val="20"/>
          <w:szCs w:val="20"/>
        </w:rPr>
        <w:t>O alargamento do processo da globalização representa um desafio para o Estado, uma vez que sua base institucional forjada durante a modernidade não corresponde à realidade e à complexidade do atual mundo globalizado. A desregulação financeira, o surgimento e protagonismo de atores privados, a perda de autonomia decisória dos Estados, dentre outros fatores indicam a existência de uma situação de crise, a qual, caracterizada pela emergência de atores privados em domínios públicos representa também uma preocupação em relação às instituições democráticas do Estado.</w:t>
      </w:r>
    </w:p>
    <w:p w14:paraId="6268B57E" w14:textId="77777777" w:rsidR="007D698A" w:rsidRPr="007D698A" w:rsidRDefault="007D698A" w:rsidP="007D698A">
      <w:pPr>
        <w:spacing w:after="0" w:line="240" w:lineRule="auto"/>
        <w:ind w:firstLine="709"/>
        <w:jc w:val="both"/>
        <w:rPr>
          <w:rFonts w:ascii="Verdana" w:eastAsia="Times New Roman" w:hAnsi="Verdana"/>
          <w:sz w:val="20"/>
          <w:szCs w:val="20"/>
        </w:rPr>
      </w:pPr>
      <w:r w:rsidRPr="007D698A">
        <w:rPr>
          <w:rFonts w:ascii="Verdana" w:eastAsia="Times New Roman" w:hAnsi="Verdana"/>
          <w:sz w:val="20"/>
          <w:szCs w:val="20"/>
        </w:rPr>
        <w:t xml:space="preserve">Para estabelecer critérios de estudo das instituições democráticas, a pesquisa procura abordar categorias relevantes como a plutocracia mundial, a oligarquia e a </w:t>
      </w:r>
      <w:proofErr w:type="spellStart"/>
      <w:r w:rsidRPr="007D698A">
        <w:rPr>
          <w:rFonts w:ascii="Verdana" w:eastAsia="Times New Roman" w:hAnsi="Verdana"/>
          <w:sz w:val="20"/>
          <w:szCs w:val="20"/>
        </w:rPr>
        <w:t>poliarquia</w:t>
      </w:r>
      <w:proofErr w:type="spellEnd"/>
      <w:r w:rsidRPr="007D698A">
        <w:rPr>
          <w:rFonts w:ascii="Verdana" w:eastAsia="Times New Roman" w:hAnsi="Verdana"/>
          <w:sz w:val="20"/>
          <w:szCs w:val="20"/>
        </w:rPr>
        <w:t>, bem como demonstrar, em forma de dados, as formas mais comuns em que protagonismo dos atores privados pode ser notado atualmente.</w:t>
      </w:r>
    </w:p>
    <w:p w14:paraId="66077DCF" w14:textId="77777777" w:rsidR="007D698A" w:rsidRPr="007D698A" w:rsidRDefault="007D698A" w:rsidP="007D698A">
      <w:pPr>
        <w:spacing w:after="0" w:line="240" w:lineRule="auto"/>
        <w:ind w:firstLine="709"/>
        <w:jc w:val="both"/>
        <w:rPr>
          <w:rFonts w:ascii="Verdana" w:eastAsia="Times New Roman" w:hAnsi="Verdana"/>
          <w:sz w:val="20"/>
          <w:szCs w:val="20"/>
        </w:rPr>
      </w:pPr>
      <w:r w:rsidRPr="007D698A">
        <w:rPr>
          <w:rFonts w:ascii="Verdana" w:eastAsia="Times New Roman" w:hAnsi="Verdana"/>
          <w:sz w:val="20"/>
          <w:szCs w:val="20"/>
        </w:rPr>
        <w:t>Com base nesses temas, o presente trabalho tem como objetivo geral analisar, no contexto da globalização e da crise do estado, de que forma as instituições democráticas são impactadas pela emergência e protagonismo dos atores privados. O intuito da pesquisa é responder ao seguinte problema: no contexto de globalização e crise do Estado, como a emergência e protagonismo de atores privados impacta às instituições democráticas?</w:t>
      </w:r>
    </w:p>
    <w:p w14:paraId="487262A3" w14:textId="77777777" w:rsidR="007D698A" w:rsidRPr="007D698A" w:rsidRDefault="007D698A" w:rsidP="007D698A">
      <w:pPr>
        <w:spacing w:after="0" w:line="240" w:lineRule="auto"/>
        <w:ind w:firstLine="709"/>
        <w:jc w:val="both"/>
        <w:rPr>
          <w:rFonts w:ascii="Verdana" w:eastAsia="Times New Roman" w:hAnsi="Verdana"/>
          <w:sz w:val="20"/>
          <w:szCs w:val="20"/>
        </w:rPr>
      </w:pPr>
      <w:r w:rsidRPr="007D698A">
        <w:rPr>
          <w:rFonts w:ascii="Verdana" w:eastAsia="Times New Roman" w:hAnsi="Verdana"/>
          <w:sz w:val="20"/>
          <w:szCs w:val="20"/>
        </w:rPr>
        <w:t>A hipótese de pesquisa sugere, provisoriamente, que o avanço do fenômeno da globalização, bem como o surgimento de atores privados e a desregulação financeira culminaram em um cenário de crise, no qual o papel normativo do direito estatal é esvaziado pela “perda” de soberania do Estado, principalmente no que diz respeito a sua autonomia de decisão. Nesse cenário, a influência e o protagonismo dos atores privados em domínios que, até meados do século XX, eram exclusivamente estatais, impacta negativamente às instituições democráticas, na medida em que a sobreposição dos poderes econômicos e financeiros sobre os poderes públicos resulta prejuízos à garantia dos direitos fundamentais dos cidadãos, assim como enfraquece a democracia.</w:t>
      </w:r>
    </w:p>
    <w:p w14:paraId="673EEB64" w14:textId="77777777" w:rsidR="007D698A" w:rsidRPr="007D698A" w:rsidRDefault="007D698A" w:rsidP="007D698A">
      <w:pPr>
        <w:spacing w:after="0" w:line="240" w:lineRule="auto"/>
        <w:ind w:firstLine="709"/>
        <w:jc w:val="both"/>
        <w:rPr>
          <w:rFonts w:ascii="Verdana" w:eastAsia="Times New Roman" w:hAnsi="Verdana"/>
          <w:sz w:val="20"/>
          <w:szCs w:val="20"/>
        </w:rPr>
      </w:pPr>
      <w:r w:rsidRPr="007D698A">
        <w:rPr>
          <w:rFonts w:ascii="Verdana" w:eastAsia="Times New Roman" w:hAnsi="Verdana"/>
          <w:sz w:val="20"/>
          <w:szCs w:val="20"/>
        </w:rPr>
        <w:t>Os objetivos específicos são: (a) contextualizar a crise do estado no cenário da globalização; (b) determinar de que forma os atores privados atuam nas pautas e domínios públicos; (c) avaliar o impacto decorrente do protagonismo dos atores privados na esfera das instituições democráticas.</w:t>
      </w:r>
    </w:p>
    <w:p w14:paraId="73D955E8" w14:textId="77777777" w:rsidR="007D698A" w:rsidRPr="007D698A" w:rsidRDefault="007D698A" w:rsidP="007D698A">
      <w:pPr>
        <w:spacing w:after="0" w:line="240" w:lineRule="auto"/>
        <w:ind w:firstLine="709"/>
        <w:jc w:val="both"/>
        <w:rPr>
          <w:rFonts w:ascii="Verdana" w:eastAsia="Times New Roman" w:hAnsi="Verdana"/>
          <w:sz w:val="20"/>
          <w:szCs w:val="20"/>
        </w:rPr>
      </w:pPr>
      <w:r w:rsidRPr="007D698A">
        <w:rPr>
          <w:rFonts w:ascii="Verdana" w:eastAsia="Times New Roman" w:hAnsi="Verdana"/>
          <w:sz w:val="20"/>
          <w:szCs w:val="20"/>
        </w:rPr>
        <w:t>O trabalho será desenvolvido por meio do método de abordagem dedutivo, pois partirá da análise de categorias gerais para, no decorrer da pesquisa e aprofundamento do estudo dessas categorias, especificá-las e inseri-las em perspectivas mais concretas. Como método de procedimento, adotar-se-á o método monográfico, tendo em vista um recorte de tema rigorosamente delimitado desde o início. Por fim, a técnica de pesquisa será a documentação indireta, por meio da pesquisa bibliográfica.</w:t>
      </w:r>
    </w:p>
    <w:p w14:paraId="73C1ABC6" w14:textId="77777777" w:rsidR="007D698A" w:rsidRPr="007D698A" w:rsidRDefault="007D698A" w:rsidP="007D698A">
      <w:pPr>
        <w:spacing w:after="0" w:line="240" w:lineRule="auto"/>
        <w:jc w:val="both"/>
        <w:rPr>
          <w:rFonts w:ascii="Verdana" w:eastAsia="Times New Roman" w:hAnsi="Verdana"/>
          <w:sz w:val="20"/>
          <w:szCs w:val="20"/>
        </w:rPr>
      </w:pPr>
    </w:p>
    <w:p w14:paraId="67E7CCEE" w14:textId="77777777" w:rsidR="007D698A" w:rsidRPr="007D698A" w:rsidRDefault="007D698A" w:rsidP="007D698A">
      <w:pPr>
        <w:spacing w:after="0" w:line="240" w:lineRule="auto"/>
        <w:jc w:val="both"/>
        <w:rPr>
          <w:rFonts w:ascii="Verdana" w:eastAsia="Times New Roman" w:hAnsi="Verdana"/>
          <w:b/>
          <w:sz w:val="20"/>
          <w:szCs w:val="20"/>
        </w:rPr>
      </w:pPr>
      <w:bookmarkStart w:id="2" w:name="_Hlk58509689"/>
      <w:r w:rsidRPr="007D698A">
        <w:rPr>
          <w:rFonts w:ascii="Verdana" w:eastAsia="Times New Roman" w:hAnsi="Verdana"/>
          <w:b/>
          <w:sz w:val="20"/>
          <w:szCs w:val="20"/>
        </w:rPr>
        <w:lastRenderedPageBreak/>
        <w:t>2 Globalização e crise do Estado</w:t>
      </w:r>
    </w:p>
    <w:bookmarkEnd w:id="2"/>
    <w:p w14:paraId="42ADA5FF" w14:textId="77777777" w:rsidR="007D698A" w:rsidRPr="007D698A" w:rsidRDefault="007D698A" w:rsidP="007D698A">
      <w:pPr>
        <w:spacing w:after="0" w:line="240" w:lineRule="auto"/>
        <w:jc w:val="both"/>
        <w:rPr>
          <w:rFonts w:ascii="Verdana" w:eastAsia="Times New Roman" w:hAnsi="Verdana"/>
          <w:sz w:val="20"/>
          <w:szCs w:val="20"/>
        </w:rPr>
      </w:pPr>
    </w:p>
    <w:p w14:paraId="1AC5F1D1" w14:textId="77777777" w:rsidR="007D698A" w:rsidRPr="007D698A" w:rsidRDefault="007D698A" w:rsidP="007D698A">
      <w:pPr>
        <w:spacing w:after="0" w:line="240" w:lineRule="auto"/>
        <w:ind w:firstLine="709"/>
        <w:jc w:val="both"/>
        <w:rPr>
          <w:rFonts w:ascii="Verdana" w:eastAsia="Times New Roman" w:hAnsi="Verdana"/>
          <w:sz w:val="20"/>
          <w:szCs w:val="20"/>
        </w:rPr>
      </w:pPr>
      <w:r w:rsidRPr="007D698A">
        <w:rPr>
          <w:rFonts w:ascii="Verdana" w:eastAsia="Times New Roman" w:hAnsi="Verdana"/>
          <w:sz w:val="20"/>
          <w:szCs w:val="20"/>
        </w:rPr>
        <w:t>Notadamente, a consolidação da globalização introduziu processos que criaram uma espécie de território mundial no qual circulam pessoas, bens, mercadorias, ideologias e capitais. A consolidação desse fenômeno tem contribuído para certo “encolhimento” do Estado (que vai culminar, inclusive, no debate sobre sua crise), na medida em que a aceleração dos processos globais representa o desafio de se repensarem alguns conceitos e instituições já sedimentados e que não são capazes de abarcar essas novas realidades e perspectivas.</w:t>
      </w:r>
    </w:p>
    <w:p w14:paraId="36DAB206" w14:textId="77777777" w:rsidR="007D698A" w:rsidRPr="007D698A" w:rsidRDefault="007D698A" w:rsidP="007D698A">
      <w:pPr>
        <w:spacing w:after="0" w:line="240" w:lineRule="auto"/>
        <w:ind w:firstLine="709"/>
        <w:jc w:val="both"/>
        <w:rPr>
          <w:rFonts w:ascii="Verdana" w:eastAsia="Times New Roman" w:hAnsi="Verdana"/>
          <w:sz w:val="20"/>
          <w:szCs w:val="20"/>
        </w:rPr>
      </w:pPr>
      <w:r w:rsidRPr="007D698A">
        <w:rPr>
          <w:rFonts w:ascii="Verdana" w:eastAsia="Times New Roman" w:hAnsi="Verdana"/>
          <w:sz w:val="20"/>
          <w:szCs w:val="20"/>
        </w:rPr>
        <w:t>Para elucidar a temática da globalização, deve ser destacada a multiplicidade de sentidos que o termo possui. Nessa perspectiva, pode-se dizer que a globalização representa uma conscientização popular crescente de que os acontecimentos distantes podem afetar os destinos locais. Em outras palavras, esse processo “denota a escala crescente, a magnitude progressiva, a aceleração e o aprofundamento do impacto dos fluxos e padrões inter-regionais de interação social”</w:t>
      </w:r>
      <w:r w:rsidRPr="007D698A">
        <w:rPr>
          <w:rFonts w:ascii="Verdana" w:eastAsia="Times New Roman" w:hAnsi="Verdana"/>
          <w:sz w:val="20"/>
          <w:szCs w:val="20"/>
          <w:vertAlign w:val="superscript"/>
        </w:rPr>
        <w:footnoteReference w:id="3"/>
      </w:r>
      <w:r w:rsidRPr="007D698A">
        <w:rPr>
          <w:rFonts w:ascii="Verdana" w:eastAsia="Times New Roman" w:hAnsi="Verdana"/>
          <w:sz w:val="20"/>
          <w:szCs w:val="20"/>
        </w:rPr>
        <w:t>.</w:t>
      </w:r>
    </w:p>
    <w:p w14:paraId="7EEC5483" w14:textId="77777777" w:rsidR="007D698A" w:rsidRPr="007D698A" w:rsidRDefault="007D698A" w:rsidP="007D698A">
      <w:pPr>
        <w:spacing w:after="0" w:line="240" w:lineRule="auto"/>
        <w:ind w:firstLine="709"/>
        <w:jc w:val="both"/>
        <w:rPr>
          <w:rFonts w:ascii="Verdana" w:eastAsia="Times New Roman" w:hAnsi="Verdana"/>
          <w:sz w:val="20"/>
          <w:szCs w:val="20"/>
        </w:rPr>
      </w:pPr>
      <w:r w:rsidRPr="007D698A">
        <w:rPr>
          <w:rFonts w:ascii="Verdana" w:eastAsia="Times New Roman" w:hAnsi="Verdana"/>
          <w:sz w:val="20"/>
          <w:szCs w:val="20"/>
        </w:rPr>
        <w:t xml:space="preserve">Um dos principais pontos de destaque em relações às transformações decorrentes da globalização consiste na explicação de que seu advento </w:t>
      </w:r>
      <w:proofErr w:type="gramStart"/>
      <w:r w:rsidRPr="007D698A">
        <w:rPr>
          <w:rFonts w:ascii="Verdana" w:eastAsia="Times New Roman" w:hAnsi="Verdana"/>
          <w:sz w:val="20"/>
          <w:szCs w:val="20"/>
        </w:rPr>
        <w:t>refere-se</w:t>
      </w:r>
      <w:proofErr w:type="gramEnd"/>
      <w:r w:rsidRPr="007D698A">
        <w:rPr>
          <w:rFonts w:ascii="Verdana" w:eastAsia="Times New Roman" w:hAnsi="Verdana"/>
          <w:sz w:val="20"/>
          <w:szCs w:val="20"/>
        </w:rPr>
        <w:t xml:space="preserve"> a uma “mudança na escala da organização social que liga comunidades distantes e amplia o alcance das relações de poder nas grandes regiões e continentes do mundo”</w:t>
      </w:r>
      <w:r w:rsidRPr="007D698A">
        <w:rPr>
          <w:rFonts w:ascii="Verdana" w:eastAsia="Times New Roman" w:hAnsi="Verdana"/>
          <w:sz w:val="20"/>
          <w:szCs w:val="20"/>
          <w:vertAlign w:val="superscript"/>
        </w:rPr>
        <w:footnoteReference w:id="4"/>
      </w:r>
      <w:r w:rsidRPr="007D698A">
        <w:rPr>
          <w:rFonts w:ascii="Verdana" w:eastAsia="Times New Roman" w:hAnsi="Verdana"/>
          <w:sz w:val="20"/>
          <w:szCs w:val="20"/>
        </w:rPr>
        <w:t>. Seguindo nessa esteira, é importante esclarecer a opção do presente estudo em trabalhar com a globalização econômica</w:t>
      </w:r>
      <w:r w:rsidRPr="007D698A">
        <w:rPr>
          <w:rFonts w:ascii="Verdana" w:eastAsia="Times New Roman" w:hAnsi="Verdana"/>
          <w:sz w:val="20"/>
          <w:szCs w:val="20"/>
          <w:vertAlign w:val="superscript"/>
        </w:rPr>
        <w:footnoteReference w:id="5"/>
      </w:r>
      <w:r w:rsidRPr="007D698A">
        <w:rPr>
          <w:rFonts w:ascii="Verdana" w:eastAsia="Times New Roman" w:hAnsi="Verdana"/>
          <w:sz w:val="20"/>
          <w:szCs w:val="20"/>
        </w:rPr>
        <w:t xml:space="preserve"> e seus impactos diretos nas relações de poder.</w:t>
      </w:r>
    </w:p>
    <w:p w14:paraId="4B73189B" w14:textId="77777777" w:rsidR="007D698A" w:rsidRPr="007D698A" w:rsidRDefault="007D698A" w:rsidP="007D698A">
      <w:pPr>
        <w:spacing w:after="0" w:line="240" w:lineRule="auto"/>
        <w:ind w:firstLine="709"/>
        <w:jc w:val="both"/>
        <w:rPr>
          <w:rFonts w:ascii="Verdana" w:eastAsia="Times New Roman" w:hAnsi="Verdana"/>
          <w:sz w:val="20"/>
          <w:szCs w:val="20"/>
        </w:rPr>
      </w:pPr>
      <w:r w:rsidRPr="007D698A">
        <w:rPr>
          <w:rFonts w:ascii="Verdana" w:eastAsia="SimSun" w:hAnsi="Verdana"/>
          <w:kern w:val="2"/>
          <w:sz w:val="20"/>
          <w:szCs w:val="20"/>
          <w:lang w:eastAsia="zh-CN" w:bidi="hi-IN"/>
        </w:rPr>
        <w:t>Do panorama atual decorrem inúmeras invenções e inovações que desafiam constantemente a atuação dos Estados e</w:t>
      </w:r>
      <w:r w:rsidRPr="007D698A">
        <w:rPr>
          <w:rFonts w:ascii="Verdana" w:eastAsia="Times New Roman" w:hAnsi="Verdana"/>
          <w:sz w:val="20"/>
          <w:szCs w:val="20"/>
        </w:rPr>
        <w:t xml:space="preserve"> marcam um período de crise da modernidade</w:t>
      </w:r>
      <w:r w:rsidRPr="007D698A">
        <w:rPr>
          <w:rFonts w:ascii="Verdana" w:eastAsia="Times New Roman" w:hAnsi="Verdana"/>
          <w:sz w:val="20"/>
          <w:szCs w:val="20"/>
          <w:vertAlign w:val="superscript"/>
        </w:rPr>
        <w:footnoteReference w:id="6"/>
      </w:r>
      <w:r w:rsidRPr="007D698A">
        <w:rPr>
          <w:rFonts w:ascii="Verdana" w:eastAsia="Times New Roman" w:hAnsi="Verdana"/>
          <w:sz w:val="20"/>
          <w:szCs w:val="20"/>
        </w:rPr>
        <w:t>, diretamente relacionada à incapacidade de recebimento de tantas mudanças. De um lado, tem-se a fragilidade dos tradicionais atores nacionais enquanto que, de outro lado, os interesses transnacionais e instituições novas passam a ser ocupados, instalando-se “um cenário de tensão institucional, no qual as ‘velhas’ instituições estatais e, por via idêntica os indivíduos, deparam-se com sensações de turbulência”</w:t>
      </w:r>
      <w:r w:rsidRPr="007D698A">
        <w:rPr>
          <w:rFonts w:ascii="Verdana" w:eastAsia="Times New Roman" w:hAnsi="Verdana"/>
          <w:sz w:val="20"/>
          <w:szCs w:val="20"/>
          <w:vertAlign w:val="superscript"/>
        </w:rPr>
        <w:footnoteReference w:id="7"/>
      </w:r>
      <w:r w:rsidRPr="007D698A">
        <w:rPr>
          <w:rFonts w:ascii="Verdana" w:eastAsia="Times New Roman" w:hAnsi="Verdana"/>
          <w:sz w:val="20"/>
          <w:szCs w:val="20"/>
        </w:rPr>
        <w:t>.</w:t>
      </w:r>
    </w:p>
    <w:p w14:paraId="1983C542" w14:textId="77777777" w:rsidR="007D698A" w:rsidRPr="007D698A" w:rsidRDefault="007D698A" w:rsidP="007D698A">
      <w:pPr>
        <w:spacing w:after="0" w:line="240" w:lineRule="auto"/>
        <w:ind w:firstLine="709"/>
        <w:jc w:val="both"/>
        <w:rPr>
          <w:rFonts w:ascii="Verdana" w:eastAsia="Times New Roman" w:hAnsi="Verdana"/>
          <w:sz w:val="20"/>
          <w:szCs w:val="20"/>
        </w:rPr>
      </w:pPr>
      <w:r w:rsidRPr="007D698A">
        <w:rPr>
          <w:rFonts w:ascii="Verdana" w:eastAsia="Times New Roman" w:hAnsi="Verdana"/>
          <w:sz w:val="20"/>
          <w:szCs w:val="20"/>
        </w:rPr>
        <w:t>O surgimento de novas instituições escapa à caracterização do glossário político da modernidade, de modo que o fracasso de seu projeto pode ser associado à globalização e à crise do Estado</w:t>
      </w:r>
      <w:r w:rsidRPr="007D698A">
        <w:rPr>
          <w:rFonts w:ascii="Verdana" w:eastAsia="Times New Roman" w:hAnsi="Verdana"/>
          <w:sz w:val="20"/>
          <w:szCs w:val="20"/>
          <w:vertAlign w:val="superscript"/>
        </w:rPr>
        <w:footnoteReference w:id="8"/>
      </w:r>
      <w:r w:rsidRPr="007D698A">
        <w:rPr>
          <w:rFonts w:ascii="Verdana" w:eastAsia="Times New Roman" w:hAnsi="Verdana"/>
          <w:sz w:val="20"/>
          <w:szCs w:val="20"/>
        </w:rPr>
        <w:t xml:space="preserve">. Sob tais circunstâncias, “tem-se afirmado </w:t>
      </w:r>
      <w:r w:rsidRPr="007D698A">
        <w:rPr>
          <w:rFonts w:ascii="Verdana" w:eastAsia="Times New Roman" w:hAnsi="Verdana"/>
          <w:sz w:val="20"/>
          <w:szCs w:val="20"/>
        </w:rPr>
        <w:lastRenderedPageBreak/>
        <w:t>reiteradamente uma crise do Estado de bem-estar social (que acaba subsumida pela própria ‘falência’ do Estado), a qual, a rigor, configura uma crise do modelo ou projeto social que foi incorporado aos Estados Democráticos de Direito”</w:t>
      </w:r>
      <w:r w:rsidRPr="007D698A">
        <w:rPr>
          <w:rFonts w:ascii="Verdana" w:eastAsia="Times New Roman" w:hAnsi="Verdana"/>
          <w:sz w:val="20"/>
          <w:szCs w:val="20"/>
          <w:vertAlign w:val="superscript"/>
        </w:rPr>
        <w:footnoteReference w:id="9"/>
      </w:r>
      <w:r w:rsidRPr="007D698A">
        <w:rPr>
          <w:rFonts w:ascii="Verdana" w:eastAsia="Times New Roman" w:hAnsi="Verdana"/>
          <w:sz w:val="20"/>
          <w:szCs w:val="20"/>
        </w:rPr>
        <w:t>.</w:t>
      </w:r>
    </w:p>
    <w:p w14:paraId="6F332B5F" w14:textId="77777777" w:rsidR="007D698A" w:rsidRPr="007D698A" w:rsidRDefault="007D698A" w:rsidP="007D698A">
      <w:pPr>
        <w:spacing w:after="0" w:line="240" w:lineRule="auto"/>
        <w:ind w:firstLine="709"/>
        <w:jc w:val="both"/>
        <w:rPr>
          <w:rFonts w:ascii="Verdana" w:eastAsia="Times New Roman" w:hAnsi="Verdana"/>
          <w:sz w:val="20"/>
          <w:szCs w:val="20"/>
        </w:rPr>
      </w:pPr>
      <w:r w:rsidRPr="007D698A">
        <w:rPr>
          <w:rFonts w:ascii="Verdana" w:eastAsia="Times New Roman" w:hAnsi="Verdana"/>
          <w:sz w:val="20"/>
          <w:szCs w:val="20"/>
        </w:rPr>
        <w:t xml:space="preserve">A contextualização das razões da crise pode ser feita por inúmeras abordagens. Em uma delas, </w:t>
      </w:r>
      <w:proofErr w:type="spellStart"/>
      <w:r w:rsidRPr="007D698A">
        <w:rPr>
          <w:rFonts w:ascii="Verdana" w:eastAsia="Times New Roman" w:hAnsi="Verdana"/>
          <w:sz w:val="20"/>
          <w:szCs w:val="20"/>
        </w:rPr>
        <w:t>Ferrajoli</w:t>
      </w:r>
      <w:proofErr w:type="spellEnd"/>
      <w:r w:rsidRPr="007D698A">
        <w:rPr>
          <w:rFonts w:ascii="Verdana" w:eastAsia="Times New Roman" w:hAnsi="Verdana"/>
          <w:sz w:val="20"/>
          <w:szCs w:val="20"/>
        </w:rPr>
        <w:t xml:space="preserve"> indica a carência de instituições do Estado à altura dos novos poderes e problemas globais. O autor explica que é precisamente a crise econômica, gerada pela desregulação financeira, o principal fator moderno de crise e destaca que o papel normativo do direito estatal é esvaziado pela perda de soberania dos Estados, “pela crise de representatividade dos partidos, pelo conflito de interesses e pela sobreposição, aos poderes públicos, dos poderes econômicos e financeiros de caráter transnacional”</w:t>
      </w:r>
      <w:r w:rsidRPr="007D698A">
        <w:rPr>
          <w:rFonts w:ascii="Verdana" w:eastAsia="Times New Roman" w:hAnsi="Verdana"/>
          <w:sz w:val="20"/>
          <w:szCs w:val="20"/>
          <w:vertAlign w:val="superscript"/>
        </w:rPr>
        <w:footnoteReference w:id="10"/>
      </w:r>
      <w:r w:rsidRPr="007D698A">
        <w:rPr>
          <w:rFonts w:ascii="Verdana" w:eastAsia="Times New Roman" w:hAnsi="Verdana"/>
          <w:sz w:val="20"/>
          <w:szCs w:val="20"/>
        </w:rPr>
        <w:t>.</w:t>
      </w:r>
    </w:p>
    <w:p w14:paraId="1913D6C5" w14:textId="77777777" w:rsidR="007D698A" w:rsidRPr="007D698A" w:rsidRDefault="007D698A" w:rsidP="007D698A">
      <w:pPr>
        <w:spacing w:after="0" w:line="240" w:lineRule="auto"/>
        <w:ind w:firstLine="709"/>
        <w:jc w:val="both"/>
        <w:rPr>
          <w:rFonts w:ascii="Verdana" w:eastAsia="Times New Roman" w:hAnsi="Verdana"/>
          <w:sz w:val="20"/>
          <w:szCs w:val="20"/>
        </w:rPr>
      </w:pPr>
      <w:r w:rsidRPr="007D698A">
        <w:rPr>
          <w:rFonts w:ascii="Verdana" w:eastAsia="Times New Roman" w:hAnsi="Verdana"/>
          <w:sz w:val="20"/>
          <w:szCs w:val="20"/>
        </w:rPr>
        <w:t xml:space="preserve">Em síntese, o ponto de inflexão entre o avanço da globalização econômica e a crise do Estado está na existência de uma economia globalizada e caracterizada pelo </w:t>
      </w:r>
      <w:proofErr w:type="spellStart"/>
      <w:r w:rsidRPr="007D698A">
        <w:rPr>
          <w:rFonts w:ascii="Verdana" w:eastAsia="Times New Roman" w:hAnsi="Verdana"/>
          <w:sz w:val="20"/>
          <w:szCs w:val="20"/>
        </w:rPr>
        <w:t>policentrismo</w:t>
      </w:r>
      <w:proofErr w:type="spellEnd"/>
      <w:r w:rsidRPr="007D698A">
        <w:rPr>
          <w:rFonts w:ascii="Verdana" w:eastAsia="Times New Roman" w:hAnsi="Verdana"/>
          <w:sz w:val="20"/>
          <w:szCs w:val="20"/>
          <w:vertAlign w:val="superscript"/>
        </w:rPr>
        <w:footnoteReference w:id="11"/>
      </w:r>
      <w:r w:rsidRPr="007D698A">
        <w:rPr>
          <w:rFonts w:ascii="Verdana" w:eastAsia="Times New Roman" w:hAnsi="Verdana"/>
          <w:sz w:val="20"/>
          <w:szCs w:val="20"/>
        </w:rPr>
        <w:t xml:space="preserve"> decisório, além de hierarquias altamente flexíveis, entidades nacionais ou supranacionais híbridas e estruturas de poder cada vez mais diversificadas e funcionalmente diferenciadas que fizeram com que os Estados perdessem a posição de poder exclusivo na coordenação de ações coletivas</w:t>
      </w:r>
      <w:r w:rsidRPr="007D698A">
        <w:rPr>
          <w:rFonts w:ascii="Verdana" w:eastAsia="Times New Roman" w:hAnsi="Verdana"/>
          <w:sz w:val="20"/>
          <w:szCs w:val="20"/>
          <w:vertAlign w:val="superscript"/>
        </w:rPr>
        <w:footnoteReference w:id="12"/>
      </w:r>
      <w:r w:rsidRPr="007D698A">
        <w:rPr>
          <w:rFonts w:ascii="Verdana" w:eastAsia="Times New Roman" w:hAnsi="Verdana"/>
          <w:sz w:val="20"/>
          <w:szCs w:val="20"/>
        </w:rPr>
        <w:t>.</w:t>
      </w:r>
    </w:p>
    <w:p w14:paraId="292315C4" w14:textId="77777777" w:rsidR="007D698A" w:rsidRPr="007D698A" w:rsidRDefault="007D698A" w:rsidP="007D698A">
      <w:pPr>
        <w:spacing w:after="0" w:line="240" w:lineRule="auto"/>
        <w:ind w:firstLine="709"/>
        <w:jc w:val="both"/>
        <w:rPr>
          <w:rFonts w:ascii="Verdana" w:eastAsia="Times New Roman" w:hAnsi="Verdana"/>
          <w:sz w:val="20"/>
          <w:szCs w:val="20"/>
        </w:rPr>
      </w:pPr>
      <w:r w:rsidRPr="007D698A">
        <w:rPr>
          <w:rFonts w:ascii="Verdana" w:eastAsia="Times New Roman" w:hAnsi="Verdana"/>
          <w:sz w:val="20"/>
          <w:szCs w:val="20"/>
        </w:rPr>
        <w:t xml:space="preserve">Nesse cenário da globalização, um número crescente de atores ganhou notoriedade, por meio de </w:t>
      </w:r>
      <w:r w:rsidRPr="007D698A">
        <w:rPr>
          <w:rFonts w:ascii="Verdana" w:eastAsia="SimSun" w:hAnsi="Verdana"/>
          <w:kern w:val="2"/>
          <w:sz w:val="20"/>
          <w:szCs w:val="20"/>
          <w:lang w:eastAsia="zh-CN" w:bidi="hi-IN"/>
        </w:rPr>
        <w:t>uma agenda de interesses transnacionais, constituída por meio de instituições novas de difícil alcance à estrutura político-jurídica da modernidade. Esse novo quadro de</w:t>
      </w:r>
      <w:r w:rsidRPr="007D698A">
        <w:rPr>
          <w:rFonts w:ascii="Verdana" w:eastAsia="Times New Roman" w:hAnsi="Verdana"/>
          <w:sz w:val="20"/>
          <w:szCs w:val="20"/>
        </w:rPr>
        <w:t xml:space="preserve"> funcionamento sugere a existência de regras próprias de atores jurídicos que dispensam usualmente os direitos nacionais e internacionais que lhes seriam normalmente aplicáveis. Essa configuração pressupõe a anuência dos Estados que se tornam cada vez mais ausentes do tabuleiro econômico e financeiro</w:t>
      </w:r>
      <w:r w:rsidRPr="007D698A">
        <w:rPr>
          <w:rFonts w:ascii="Verdana" w:eastAsia="Times New Roman" w:hAnsi="Verdana"/>
          <w:sz w:val="20"/>
          <w:szCs w:val="20"/>
          <w:vertAlign w:val="superscript"/>
        </w:rPr>
        <w:footnoteReference w:id="13"/>
      </w:r>
      <w:r w:rsidRPr="007D698A">
        <w:rPr>
          <w:rFonts w:ascii="Verdana" w:eastAsia="Times New Roman" w:hAnsi="Verdana"/>
          <w:sz w:val="20"/>
          <w:szCs w:val="20"/>
        </w:rPr>
        <w:t>.</w:t>
      </w:r>
    </w:p>
    <w:p w14:paraId="4206BDA5" w14:textId="77777777" w:rsidR="007D698A" w:rsidRPr="007D698A" w:rsidRDefault="007D698A" w:rsidP="007D698A">
      <w:pPr>
        <w:spacing w:after="0" w:line="240" w:lineRule="auto"/>
        <w:ind w:firstLine="709"/>
        <w:jc w:val="both"/>
        <w:rPr>
          <w:rFonts w:ascii="Verdana" w:eastAsia="Times New Roman" w:hAnsi="Verdana"/>
          <w:sz w:val="20"/>
          <w:szCs w:val="20"/>
        </w:rPr>
      </w:pPr>
      <w:r w:rsidRPr="007D698A">
        <w:rPr>
          <w:rFonts w:ascii="Verdana" w:eastAsia="Times New Roman" w:hAnsi="Verdana"/>
          <w:sz w:val="20"/>
          <w:szCs w:val="20"/>
        </w:rPr>
        <w:t>Consequentemente, a expansão da atividade privada em escala internacional, em um contexto onde os domínios, até meados do século XX, eram puramente estatais, marca a era da globalização econômica, por meio da prática de incorporação no direito do Estado de normas aplicadas originalmente por atores privados. Esses fatores indicam como a lógica do mercado global circula cada vez no domínio público e caracteriza a situação de crise.</w:t>
      </w:r>
    </w:p>
    <w:p w14:paraId="17A63AAF" w14:textId="77777777" w:rsidR="007D698A" w:rsidRPr="007D698A" w:rsidRDefault="007D698A" w:rsidP="007D698A">
      <w:pPr>
        <w:spacing w:after="0" w:line="240" w:lineRule="auto"/>
        <w:ind w:firstLine="709"/>
        <w:jc w:val="both"/>
        <w:rPr>
          <w:rFonts w:ascii="Verdana" w:eastAsia="Times New Roman" w:hAnsi="Verdana"/>
          <w:sz w:val="20"/>
          <w:szCs w:val="20"/>
        </w:rPr>
      </w:pPr>
      <w:r w:rsidRPr="007D698A">
        <w:rPr>
          <w:rFonts w:ascii="Verdana" w:eastAsia="Times New Roman" w:hAnsi="Verdana"/>
          <w:sz w:val="20"/>
          <w:szCs w:val="20"/>
        </w:rPr>
        <w:t xml:space="preserve">A perspectiva de </w:t>
      </w:r>
      <w:proofErr w:type="spellStart"/>
      <w:r w:rsidRPr="007D698A">
        <w:rPr>
          <w:rFonts w:ascii="Verdana" w:eastAsia="Times New Roman" w:hAnsi="Verdana"/>
          <w:sz w:val="20"/>
          <w:szCs w:val="20"/>
        </w:rPr>
        <w:t>Saskia</w:t>
      </w:r>
      <w:proofErr w:type="spellEnd"/>
      <w:r w:rsidRPr="007D698A">
        <w:rPr>
          <w:rFonts w:ascii="Verdana" w:eastAsia="Times New Roman" w:hAnsi="Verdana"/>
          <w:sz w:val="20"/>
          <w:szCs w:val="20"/>
        </w:rPr>
        <w:t xml:space="preserve"> </w:t>
      </w:r>
      <w:proofErr w:type="spellStart"/>
      <w:r w:rsidRPr="007D698A">
        <w:rPr>
          <w:rFonts w:ascii="Verdana" w:eastAsia="Times New Roman" w:hAnsi="Verdana"/>
          <w:sz w:val="20"/>
          <w:szCs w:val="20"/>
        </w:rPr>
        <w:t>Sassen</w:t>
      </w:r>
      <w:proofErr w:type="spellEnd"/>
      <w:r w:rsidRPr="007D698A">
        <w:rPr>
          <w:rFonts w:ascii="Verdana" w:eastAsia="Times New Roman" w:hAnsi="Verdana"/>
          <w:sz w:val="20"/>
          <w:szCs w:val="20"/>
        </w:rPr>
        <w:t xml:space="preserve"> para a compreensão de um novo contexto de funcionamento do Estado é muito relevante nesse sentido. A autora indica que a ordem institucional privada que está em formação é marcada pela capacidade de privatizar o que até então era público e desnacionalizar os programas políticos nacionais. A ascensão da autoridade privada, desempenhando um papel central num campo em que também operam os Estados, indica a privatização de domínios antes exclusivamente estatais</w:t>
      </w:r>
      <w:r w:rsidRPr="007D698A">
        <w:rPr>
          <w:rFonts w:ascii="Verdana" w:eastAsia="Times New Roman" w:hAnsi="Verdana"/>
          <w:sz w:val="20"/>
          <w:szCs w:val="20"/>
          <w:vertAlign w:val="superscript"/>
        </w:rPr>
        <w:footnoteReference w:id="14"/>
      </w:r>
      <w:r w:rsidRPr="007D698A">
        <w:rPr>
          <w:rFonts w:ascii="Verdana" w:eastAsia="Times New Roman" w:hAnsi="Verdana"/>
          <w:sz w:val="20"/>
          <w:szCs w:val="20"/>
        </w:rPr>
        <w:t>.</w:t>
      </w:r>
    </w:p>
    <w:p w14:paraId="5F2619F3" w14:textId="77777777" w:rsidR="007D698A" w:rsidRPr="007D698A" w:rsidRDefault="007D698A" w:rsidP="007D698A">
      <w:pPr>
        <w:spacing w:after="0" w:line="240" w:lineRule="auto"/>
        <w:ind w:firstLine="709"/>
        <w:jc w:val="both"/>
        <w:rPr>
          <w:rFonts w:ascii="Verdana" w:eastAsia="Times New Roman" w:hAnsi="Verdana"/>
          <w:sz w:val="20"/>
          <w:szCs w:val="20"/>
        </w:rPr>
      </w:pPr>
      <w:r w:rsidRPr="007D698A">
        <w:rPr>
          <w:rFonts w:ascii="Verdana" w:eastAsia="Times New Roman" w:hAnsi="Verdana"/>
          <w:sz w:val="20"/>
          <w:szCs w:val="20"/>
        </w:rPr>
        <w:t xml:space="preserve">Contudo, deve-se destacar que tanto a capacidade de privatizar quanto a desnacionalização são fatores intrínsecos do Estado. Por isso, “[...] a ascensão da </w:t>
      </w:r>
      <w:r w:rsidRPr="007D698A">
        <w:rPr>
          <w:rFonts w:ascii="Verdana" w:eastAsia="Times New Roman" w:hAnsi="Verdana"/>
          <w:sz w:val="20"/>
          <w:szCs w:val="20"/>
        </w:rPr>
        <w:lastRenderedPageBreak/>
        <w:t>autoridade privada não é simplesmente uma força externa que restringe o Estado, mas que também é, em parte, um fator endógeno”</w:t>
      </w:r>
      <w:r w:rsidRPr="007D698A">
        <w:rPr>
          <w:rFonts w:ascii="Verdana" w:eastAsia="Times New Roman" w:hAnsi="Verdana"/>
          <w:sz w:val="20"/>
          <w:szCs w:val="20"/>
          <w:vertAlign w:val="superscript"/>
        </w:rPr>
        <w:footnoteReference w:id="15"/>
      </w:r>
      <w:r w:rsidRPr="007D698A">
        <w:rPr>
          <w:rFonts w:ascii="Verdana" w:eastAsia="Times New Roman" w:hAnsi="Verdana"/>
          <w:sz w:val="20"/>
          <w:szCs w:val="20"/>
        </w:rPr>
        <w:t xml:space="preserve">. É importante reconhecer que as instituições estatais são reorientadas em favor das exigências de uma nova ordem normativa impulsionada pela economia global. </w:t>
      </w:r>
    </w:p>
    <w:p w14:paraId="53BE58F7" w14:textId="77777777" w:rsidR="007D698A" w:rsidRPr="007D698A" w:rsidRDefault="007D698A" w:rsidP="007D698A">
      <w:pPr>
        <w:spacing w:after="0" w:line="240" w:lineRule="auto"/>
        <w:ind w:firstLine="709"/>
        <w:jc w:val="both"/>
        <w:rPr>
          <w:rFonts w:ascii="Verdana" w:eastAsia="Times New Roman" w:hAnsi="Verdana"/>
          <w:sz w:val="20"/>
          <w:szCs w:val="20"/>
        </w:rPr>
      </w:pPr>
      <w:r w:rsidRPr="007D698A">
        <w:rPr>
          <w:rFonts w:ascii="Verdana" w:eastAsia="Times New Roman" w:hAnsi="Verdana"/>
          <w:sz w:val="20"/>
          <w:szCs w:val="20"/>
        </w:rPr>
        <w:t xml:space="preserve">Diante desses fatores, o ângulo de observação da crise do Estado proposto pelo trabalho referencia a forma como o processo de globalização adicionou, dentre múltiplos aspectos, uma série de novos atores na arena nacional e internacional, a exemplo de empresas e organismos privados, que destituem constantemente o Estado como fonte exclusiva de poder. Nesse enfoque, percebe-se que essa destituição </w:t>
      </w:r>
      <w:proofErr w:type="gramStart"/>
      <w:r w:rsidRPr="007D698A">
        <w:rPr>
          <w:rFonts w:ascii="Verdana" w:eastAsia="Times New Roman" w:hAnsi="Verdana"/>
          <w:sz w:val="20"/>
          <w:szCs w:val="20"/>
        </w:rPr>
        <w:t>atinge-o</w:t>
      </w:r>
      <w:proofErr w:type="gramEnd"/>
      <w:r w:rsidRPr="007D698A">
        <w:rPr>
          <w:rFonts w:ascii="Verdana" w:eastAsia="Times New Roman" w:hAnsi="Verdana"/>
          <w:sz w:val="20"/>
          <w:szCs w:val="20"/>
        </w:rPr>
        <w:t>, exatamente, “naquele que, nas origens, foi seu traço definidor”</w:t>
      </w:r>
      <w:r w:rsidRPr="007D698A">
        <w:rPr>
          <w:rFonts w:ascii="Verdana" w:eastAsia="Times New Roman" w:hAnsi="Verdana"/>
          <w:sz w:val="20"/>
          <w:szCs w:val="20"/>
          <w:vertAlign w:val="superscript"/>
        </w:rPr>
        <w:footnoteReference w:id="16"/>
      </w:r>
      <w:r w:rsidRPr="007D698A">
        <w:rPr>
          <w:rFonts w:ascii="Verdana" w:eastAsia="Times New Roman" w:hAnsi="Verdana"/>
          <w:sz w:val="20"/>
          <w:szCs w:val="20"/>
        </w:rPr>
        <w:t>.</w:t>
      </w:r>
    </w:p>
    <w:p w14:paraId="4867E5D4" w14:textId="77777777" w:rsidR="007D698A" w:rsidRPr="007D698A" w:rsidRDefault="007D698A" w:rsidP="007D698A">
      <w:pPr>
        <w:spacing w:after="0" w:line="240" w:lineRule="auto"/>
        <w:ind w:firstLine="709"/>
        <w:jc w:val="both"/>
        <w:rPr>
          <w:rFonts w:ascii="Verdana" w:eastAsia="Times New Roman" w:hAnsi="Verdana"/>
          <w:sz w:val="20"/>
          <w:szCs w:val="20"/>
        </w:rPr>
      </w:pPr>
      <w:r w:rsidRPr="007D698A">
        <w:rPr>
          <w:rFonts w:ascii="Verdana" w:eastAsia="Times New Roman" w:hAnsi="Verdana"/>
          <w:sz w:val="20"/>
          <w:szCs w:val="20"/>
        </w:rPr>
        <w:t>Sob tais circunstâncias, a disseminação de bens e serviços além das fronteiras consolidou o mercado e desenvolveu uma economia globalizada e menos dependente dos mecanismos estatais. Destaca-se a presença de correntes privadas como bancos, organizações internacionais e agências reguladoras que exercem grande influência nesse cenário, caracterizando-se como atores transnacionais que pautam suas atividades independentemente de pressões estatais</w:t>
      </w:r>
      <w:r w:rsidRPr="007D698A">
        <w:rPr>
          <w:rFonts w:ascii="Verdana" w:eastAsia="Times New Roman" w:hAnsi="Verdana"/>
          <w:sz w:val="20"/>
          <w:szCs w:val="20"/>
          <w:vertAlign w:val="superscript"/>
        </w:rPr>
        <w:footnoteReference w:id="17"/>
      </w:r>
      <w:r w:rsidRPr="007D698A">
        <w:rPr>
          <w:rFonts w:ascii="Verdana" w:eastAsia="Times New Roman" w:hAnsi="Verdana"/>
          <w:sz w:val="20"/>
          <w:szCs w:val="20"/>
        </w:rPr>
        <w:t>.</w:t>
      </w:r>
    </w:p>
    <w:p w14:paraId="54E8D7A5" w14:textId="77777777" w:rsidR="007D698A" w:rsidRPr="007D698A" w:rsidRDefault="007D698A" w:rsidP="007D698A">
      <w:pPr>
        <w:spacing w:after="0" w:line="240" w:lineRule="auto"/>
        <w:ind w:firstLine="709"/>
        <w:jc w:val="both"/>
        <w:rPr>
          <w:rFonts w:ascii="Verdana" w:eastAsia="Times New Roman" w:hAnsi="Verdana"/>
          <w:sz w:val="20"/>
          <w:szCs w:val="20"/>
        </w:rPr>
      </w:pPr>
      <w:r w:rsidRPr="007D698A">
        <w:rPr>
          <w:rFonts w:ascii="Verdana" w:eastAsia="Times New Roman" w:hAnsi="Verdana"/>
          <w:sz w:val="20"/>
          <w:szCs w:val="20"/>
        </w:rPr>
        <w:t>Embora não seja o enfoque o trabalho, deve ser destacado o impacto da globalização da economia no que tange à primazia das multinacionais enquanto agentes do mercado e seus efeitos em relação à polarização da desigualdade entre os países. De certo modo, as multinacionais</w:t>
      </w:r>
      <w:r w:rsidRPr="007D698A">
        <w:rPr>
          <w:rFonts w:ascii="Verdana" w:eastAsia="Times New Roman" w:hAnsi="Verdana"/>
          <w:sz w:val="20"/>
          <w:szCs w:val="20"/>
          <w:vertAlign w:val="superscript"/>
        </w:rPr>
        <w:footnoteReference w:id="18"/>
      </w:r>
      <w:r w:rsidRPr="007D698A">
        <w:rPr>
          <w:rFonts w:ascii="Verdana" w:eastAsia="Times New Roman" w:hAnsi="Verdana"/>
          <w:sz w:val="20"/>
          <w:szCs w:val="20"/>
        </w:rPr>
        <w:t xml:space="preserve"> dotadas de poder de intervenção global e, beneficiando-se da mobilidade crescente dos processos de produção, facilmente colocam em concorrência dois ou mais Estados sobre as condições que decidirão da localização do investimento</w:t>
      </w:r>
      <w:r w:rsidRPr="007D698A">
        <w:rPr>
          <w:rFonts w:ascii="Verdana" w:eastAsia="Times New Roman" w:hAnsi="Verdana"/>
          <w:sz w:val="20"/>
          <w:szCs w:val="20"/>
          <w:vertAlign w:val="superscript"/>
        </w:rPr>
        <w:footnoteReference w:id="19"/>
      </w:r>
      <w:r w:rsidRPr="007D698A">
        <w:rPr>
          <w:rFonts w:ascii="Verdana" w:eastAsia="Times New Roman" w:hAnsi="Verdana"/>
          <w:sz w:val="20"/>
          <w:szCs w:val="20"/>
        </w:rPr>
        <w:t>.</w:t>
      </w:r>
    </w:p>
    <w:p w14:paraId="03A5C8C9" w14:textId="77777777" w:rsidR="007D698A" w:rsidRPr="007D698A" w:rsidRDefault="007D698A" w:rsidP="007D698A">
      <w:pPr>
        <w:spacing w:after="0" w:line="240" w:lineRule="auto"/>
        <w:ind w:firstLine="709"/>
        <w:jc w:val="both"/>
        <w:rPr>
          <w:rFonts w:ascii="Verdana" w:eastAsia="Times New Roman" w:hAnsi="Verdana"/>
          <w:sz w:val="20"/>
          <w:szCs w:val="20"/>
        </w:rPr>
      </w:pPr>
      <w:r w:rsidRPr="007D698A">
        <w:rPr>
          <w:rFonts w:ascii="Verdana" w:eastAsia="Times New Roman" w:hAnsi="Verdana"/>
          <w:sz w:val="20"/>
          <w:szCs w:val="20"/>
        </w:rPr>
        <w:t>Denota-se, nessa esfera, a existência de um conjunto de circunstâncias que impedem a própria intervenção estatal destinada a limitar a autonomia de alguns operadores econômicos e financeiros. O desenvolvimento de alguns poderes essencialmente privados caracteriza a ampliação da aplicabilidade de leis econômicas, com caráter de tecnicidade</w:t>
      </w:r>
      <w:r w:rsidRPr="007D698A">
        <w:rPr>
          <w:rFonts w:ascii="Verdana" w:eastAsia="Times New Roman" w:hAnsi="Verdana"/>
          <w:sz w:val="20"/>
          <w:szCs w:val="20"/>
          <w:vertAlign w:val="superscript"/>
        </w:rPr>
        <w:footnoteReference w:id="20"/>
      </w:r>
      <w:r w:rsidRPr="007D698A">
        <w:rPr>
          <w:rFonts w:ascii="Verdana" w:eastAsia="Times New Roman" w:hAnsi="Verdana"/>
          <w:sz w:val="20"/>
          <w:szCs w:val="20"/>
        </w:rPr>
        <w:t xml:space="preserve">, provenientes do mercado. Nesse caso, em </w:t>
      </w:r>
      <w:r w:rsidRPr="007D698A">
        <w:rPr>
          <w:rFonts w:ascii="Verdana" w:eastAsia="Times New Roman" w:hAnsi="Verdana"/>
          <w:sz w:val="20"/>
          <w:szCs w:val="20"/>
        </w:rPr>
        <w:lastRenderedPageBreak/>
        <w:t xml:space="preserve">muitos países, além da política ter abdicado de seu papel de governo, abriu-se caminho para a consolidação de poderes selvagens da economia e das finanças e as várias intervenções decorrentes desse processo, como a </w:t>
      </w:r>
      <w:proofErr w:type="spellStart"/>
      <w:r w:rsidRPr="007D698A">
        <w:rPr>
          <w:rFonts w:ascii="Verdana" w:eastAsia="Times New Roman" w:hAnsi="Verdana"/>
          <w:sz w:val="20"/>
          <w:szCs w:val="20"/>
        </w:rPr>
        <w:t>autorregulação</w:t>
      </w:r>
      <w:proofErr w:type="spellEnd"/>
      <w:r w:rsidRPr="007D698A">
        <w:rPr>
          <w:rFonts w:ascii="Verdana" w:eastAsia="Times New Roman" w:hAnsi="Verdana"/>
          <w:sz w:val="20"/>
          <w:szCs w:val="20"/>
        </w:rPr>
        <w:t xml:space="preserve"> e a liberalização dos mercados</w:t>
      </w:r>
      <w:r w:rsidRPr="007D698A">
        <w:rPr>
          <w:rFonts w:ascii="Verdana" w:eastAsia="Times New Roman" w:hAnsi="Verdana"/>
          <w:sz w:val="20"/>
          <w:szCs w:val="20"/>
          <w:vertAlign w:val="superscript"/>
        </w:rPr>
        <w:footnoteReference w:id="21"/>
      </w:r>
      <w:r w:rsidRPr="007D698A">
        <w:rPr>
          <w:rFonts w:ascii="Verdana" w:eastAsia="Times New Roman" w:hAnsi="Verdana"/>
          <w:sz w:val="20"/>
          <w:szCs w:val="20"/>
        </w:rPr>
        <w:t>.</w:t>
      </w:r>
    </w:p>
    <w:p w14:paraId="0A147375" w14:textId="77777777" w:rsidR="007D698A" w:rsidRPr="007D698A" w:rsidRDefault="007D698A" w:rsidP="007D698A">
      <w:pPr>
        <w:spacing w:after="0" w:line="240" w:lineRule="auto"/>
        <w:ind w:firstLine="709"/>
        <w:jc w:val="both"/>
        <w:rPr>
          <w:rFonts w:ascii="Verdana" w:eastAsia="Times New Roman" w:hAnsi="Verdana"/>
          <w:sz w:val="20"/>
          <w:szCs w:val="20"/>
        </w:rPr>
      </w:pPr>
      <w:r w:rsidRPr="007D698A">
        <w:rPr>
          <w:rFonts w:ascii="Verdana" w:eastAsia="Times New Roman" w:hAnsi="Verdana"/>
          <w:sz w:val="20"/>
          <w:szCs w:val="20"/>
        </w:rPr>
        <w:t xml:space="preserve">Com o aparecimento de um campo transnacional, os progressos tecnológicos tornaram as fronteiras mais porosas. Dessa forma, os Estados conservam sua soberania, mas a autoridade dos governos torna-se erodida. Esses fatores se explicam na ideia de </w:t>
      </w:r>
      <w:proofErr w:type="spellStart"/>
      <w:r w:rsidRPr="007D698A">
        <w:rPr>
          <w:rFonts w:ascii="Verdana" w:eastAsia="Times New Roman" w:hAnsi="Verdana"/>
          <w:sz w:val="20"/>
          <w:szCs w:val="20"/>
        </w:rPr>
        <w:t>transnacionalidade</w:t>
      </w:r>
      <w:proofErr w:type="spellEnd"/>
      <w:r w:rsidRPr="007D698A">
        <w:rPr>
          <w:rFonts w:ascii="Verdana" w:eastAsia="Times New Roman" w:hAnsi="Verdana"/>
          <w:sz w:val="20"/>
          <w:szCs w:val="20"/>
        </w:rPr>
        <w:t xml:space="preserve"> que remete à existência de um desafio às normas nacionais e internacionais em vigor, visto que as empresas criam suas próprias normas em prol da eficiência do mercado</w:t>
      </w:r>
      <w:r w:rsidRPr="007D698A">
        <w:rPr>
          <w:rFonts w:ascii="Verdana" w:eastAsia="Times New Roman" w:hAnsi="Verdana"/>
          <w:sz w:val="20"/>
          <w:szCs w:val="20"/>
          <w:vertAlign w:val="superscript"/>
        </w:rPr>
        <w:footnoteReference w:id="22"/>
      </w:r>
      <w:r w:rsidRPr="007D698A">
        <w:rPr>
          <w:rFonts w:ascii="Verdana" w:eastAsia="Times New Roman" w:hAnsi="Verdana"/>
          <w:sz w:val="20"/>
          <w:szCs w:val="20"/>
        </w:rPr>
        <w:t>.</w:t>
      </w:r>
    </w:p>
    <w:p w14:paraId="4D9DF7F7" w14:textId="77777777" w:rsidR="007D698A" w:rsidRPr="007D698A" w:rsidRDefault="007D698A" w:rsidP="007D698A">
      <w:pPr>
        <w:spacing w:after="0" w:line="240" w:lineRule="auto"/>
        <w:ind w:firstLine="709"/>
        <w:jc w:val="both"/>
        <w:rPr>
          <w:rFonts w:ascii="Verdana" w:eastAsia="Times New Roman" w:hAnsi="Verdana"/>
          <w:sz w:val="20"/>
          <w:szCs w:val="20"/>
        </w:rPr>
      </w:pPr>
      <w:r w:rsidRPr="007D698A">
        <w:rPr>
          <w:rFonts w:ascii="Verdana" w:eastAsia="Times New Roman" w:hAnsi="Verdana"/>
          <w:sz w:val="20"/>
          <w:szCs w:val="20"/>
        </w:rPr>
        <w:t>Resta compreender que a ideia de soberania sobre a qual a engrenagem institucional foi forjada em volta do Estado-nação tem sido crescentemente ameaçada pela complexidade dos processos da globalização. Desse modo, a tendência é que o fenômeno da globalização avance irrefreavelmente, de maneira que, não há apenas a limitação da soberania, como também seu comprometimento na base</w:t>
      </w:r>
      <w:r w:rsidRPr="007D698A">
        <w:rPr>
          <w:rFonts w:ascii="Verdana" w:eastAsia="Times New Roman" w:hAnsi="Verdana"/>
          <w:sz w:val="20"/>
          <w:szCs w:val="20"/>
          <w:vertAlign w:val="superscript"/>
        </w:rPr>
        <w:footnoteReference w:id="23"/>
      </w:r>
      <w:r w:rsidRPr="007D698A">
        <w:rPr>
          <w:rFonts w:ascii="Verdana" w:eastAsia="Times New Roman" w:hAnsi="Verdana"/>
          <w:sz w:val="20"/>
          <w:szCs w:val="20"/>
        </w:rPr>
        <w:t>. Essa realidade se explica pela limitação da autonomia decisória, no contexto de que a autoridade dos Estados nos limites de seus territórios “não consegue estabelecer e realizar seus objetivos exclusivamente por si e para si próprios”</w:t>
      </w:r>
      <w:r w:rsidRPr="007D698A">
        <w:rPr>
          <w:rFonts w:ascii="Verdana" w:eastAsia="Times New Roman" w:hAnsi="Verdana"/>
          <w:sz w:val="20"/>
          <w:szCs w:val="20"/>
          <w:vertAlign w:val="superscript"/>
        </w:rPr>
        <w:footnoteReference w:id="24"/>
      </w:r>
      <w:r w:rsidRPr="007D698A">
        <w:rPr>
          <w:rFonts w:ascii="Verdana" w:eastAsia="Times New Roman" w:hAnsi="Verdana"/>
          <w:sz w:val="20"/>
          <w:szCs w:val="20"/>
        </w:rPr>
        <w:t>.</w:t>
      </w:r>
    </w:p>
    <w:p w14:paraId="403E9BDE" w14:textId="77777777" w:rsidR="007D698A" w:rsidRPr="007D698A" w:rsidRDefault="007D698A" w:rsidP="007D698A">
      <w:pPr>
        <w:spacing w:after="0" w:line="240" w:lineRule="auto"/>
        <w:ind w:firstLine="709"/>
        <w:jc w:val="both"/>
        <w:rPr>
          <w:rFonts w:ascii="Verdana" w:eastAsia="Times New Roman" w:hAnsi="Verdana"/>
          <w:sz w:val="20"/>
          <w:szCs w:val="20"/>
        </w:rPr>
      </w:pPr>
      <w:r w:rsidRPr="007D698A">
        <w:rPr>
          <w:rFonts w:ascii="Verdana" w:eastAsia="Times New Roman" w:hAnsi="Verdana"/>
          <w:sz w:val="20"/>
          <w:szCs w:val="20"/>
        </w:rPr>
        <w:t xml:space="preserve">Como ilustração dos novos organismos de normatização em que se percebe certo hibridismo entre a matriz pública e privada, pode-se utilizar o exemplo da Organização Internacional para a Estandardização (ISO), a qual detém atribuições regulamentadoras públicas. Dentre as normas técnicas editadas, destaca-se a ISO 26.000, criada em 2010, por meio da qual fixou-se um padrão global de responsabilidade social das empresas. A referida norma técnica diz respeito às condições de trabalho nas empresas, bem como da atividade em geral sobre o meio ambiente. A ISO ajustou à associação de seus trabalhos não somente organismos nacionais, como também representantes das Nações Unidas, do </w:t>
      </w:r>
      <w:r w:rsidRPr="007D698A">
        <w:rPr>
          <w:rFonts w:ascii="Verdana" w:eastAsia="Times New Roman" w:hAnsi="Verdana"/>
          <w:i/>
          <w:sz w:val="20"/>
          <w:szCs w:val="20"/>
        </w:rPr>
        <w:t xml:space="preserve">Global </w:t>
      </w:r>
      <w:proofErr w:type="spellStart"/>
      <w:r w:rsidRPr="007D698A">
        <w:rPr>
          <w:rFonts w:ascii="Verdana" w:eastAsia="Times New Roman" w:hAnsi="Verdana"/>
          <w:i/>
          <w:sz w:val="20"/>
          <w:szCs w:val="20"/>
        </w:rPr>
        <w:t>Compact</w:t>
      </w:r>
      <w:proofErr w:type="spellEnd"/>
      <w:r w:rsidRPr="007D698A">
        <w:rPr>
          <w:rFonts w:ascii="Verdana" w:eastAsia="Times New Roman" w:hAnsi="Verdana"/>
          <w:sz w:val="20"/>
          <w:szCs w:val="20"/>
        </w:rPr>
        <w:t>, da Organização Internacional do Trabalho (OIT), bem como de ONGs ativas nos domínios relacionados</w:t>
      </w:r>
      <w:r w:rsidRPr="007D698A">
        <w:rPr>
          <w:rFonts w:ascii="Verdana" w:eastAsia="Times New Roman" w:hAnsi="Verdana"/>
          <w:sz w:val="20"/>
          <w:szCs w:val="20"/>
          <w:vertAlign w:val="superscript"/>
        </w:rPr>
        <w:footnoteReference w:id="25"/>
      </w:r>
      <w:r w:rsidRPr="007D698A">
        <w:rPr>
          <w:rFonts w:ascii="Verdana" w:eastAsia="Times New Roman" w:hAnsi="Verdana"/>
          <w:sz w:val="20"/>
          <w:szCs w:val="20"/>
        </w:rPr>
        <w:t>.</w:t>
      </w:r>
    </w:p>
    <w:p w14:paraId="3CEE6505" w14:textId="77777777" w:rsidR="007D698A" w:rsidRPr="007D698A" w:rsidRDefault="007D698A" w:rsidP="007D698A">
      <w:pPr>
        <w:spacing w:after="0" w:line="240" w:lineRule="auto"/>
        <w:ind w:firstLine="709"/>
        <w:jc w:val="both"/>
        <w:rPr>
          <w:rFonts w:ascii="Verdana" w:eastAsia="Times New Roman" w:hAnsi="Verdana"/>
          <w:sz w:val="20"/>
          <w:szCs w:val="20"/>
        </w:rPr>
      </w:pPr>
      <w:r w:rsidRPr="007D698A">
        <w:rPr>
          <w:rFonts w:ascii="Verdana" w:eastAsia="Times New Roman" w:hAnsi="Verdana"/>
          <w:sz w:val="20"/>
          <w:szCs w:val="20"/>
        </w:rPr>
        <w:t xml:space="preserve">Esse cenário novo de regulação também pode ser visualizado por meio da regulamentação da </w:t>
      </w:r>
      <w:r w:rsidRPr="007D698A">
        <w:rPr>
          <w:rFonts w:ascii="Verdana" w:eastAsia="Times New Roman" w:hAnsi="Verdana"/>
          <w:i/>
          <w:sz w:val="20"/>
          <w:szCs w:val="20"/>
        </w:rPr>
        <w:t>internet</w:t>
      </w:r>
      <w:r w:rsidRPr="007D698A">
        <w:rPr>
          <w:rFonts w:ascii="Verdana" w:eastAsia="Times New Roman" w:hAnsi="Verdana"/>
          <w:sz w:val="20"/>
          <w:szCs w:val="20"/>
        </w:rPr>
        <w:t>. Não é a produção normativa estatal que estabelece os ditames do funcionamento desse meio de comunicação, pelo contrário, cabe à ICANN (</w:t>
      </w:r>
      <w:r w:rsidRPr="007D698A">
        <w:rPr>
          <w:rFonts w:ascii="Verdana" w:eastAsia="Times New Roman" w:hAnsi="Verdana"/>
          <w:i/>
          <w:sz w:val="20"/>
          <w:szCs w:val="20"/>
        </w:rPr>
        <w:t xml:space="preserve">Internet Corporation for </w:t>
      </w:r>
      <w:proofErr w:type="spellStart"/>
      <w:r w:rsidRPr="007D698A">
        <w:rPr>
          <w:rFonts w:ascii="Verdana" w:eastAsia="Times New Roman" w:hAnsi="Verdana"/>
          <w:i/>
          <w:sz w:val="20"/>
          <w:szCs w:val="20"/>
        </w:rPr>
        <w:t>Assigned</w:t>
      </w:r>
      <w:proofErr w:type="spellEnd"/>
      <w:r w:rsidRPr="007D698A">
        <w:rPr>
          <w:rFonts w:ascii="Verdana" w:eastAsia="Times New Roman" w:hAnsi="Verdana"/>
          <w:i/>
          <w:sz w:val="20"/>
          <w:szCs w:val="20"/>
        </w:rPr>
        <w:t xml:space="preserve"> </w:t>
      </w:r>
      <w:proofErr w:type="spellStart"/>
      <w:r w:rsidRPr="007D698A">
        <w:rPr>
          <w:rFonts w:ascii="Verdana" w:eastAsia="Times New Roman" w:hAnsi="Verdana"/>
          <w:i/>
          <w:sz w:val="20"/>
          <w:szCs w:val="20"/>
        </w:rPr>
        <w:t>Names</w:t>
      </w:r>
      <w:proofErr w:type="spellEnd"/>
      <w:r w:rsidRPr="007D698A">
        <w:rPr>
          <w:rFonts w:ascii="Verdana" w:eastAsia="Times New Roman" w:hAnsi="Verdana"/>
          <w:i/>
          <w:sz w:val="20"/>
          <w:szCs w:val="20"/>
        </w:rPr>
        <w:t xml:space="preserve"> </w:t>
      </w:r>
      <w:proofErr w:type="spellStart"/>
      <w:r w:rsidRPr="007D698A">
        <w:rPr>
          <w:rFonts w:ascii="Verdana" w:eastAsia="Times New Roman" w:hAnsi="Verdana"/>
          <w:i/>
          <w:sz w:val="20"/>
          <w:szCs w:val="20"/>
        </w:rPr>
        <w:t>and</w:t>
      </w:r>
      <w:proofErr w:type="spellEnd"/>
      <w:r w:rsidRPr="007D698A">
        <w:rPr>
          <w:rFonts w:ascii="Verdana" w:eastAsia="Times New Roman" w:hAnsi="Verdana"/>
          <w:i/>
          <w:sz w:val="20"/>
          <w:szCs w:val="20"/>
        </w:rPr>
        <w:t xml:space="preserve"> </w:t>
      </w:r>
      <w:proofErr w:type="spellStart"/>
      <w:r w:rsidRPr="007D698A">
        <w:rPr>
          <w:rFonts w:ascii="Verdana" w:eastAsia="Times New Roman" w:hAnsi="Verdana"/>
          <w:i/>
          <w:sz w:val="20"/>
          <w:szCs w:val="20"/>
        </w:rPr>
        <w:t>Numbers</w:t>
      </w:r>
      <w:proofErr w:type="spellEnd"/>
      <w:r w:rsidRPr="007D698A">
        <w:rPr>
          <w:rFonts w:ascii="Verdana" w:eastAsia="Times New Roman" w:hAnsi="Verdana"/>
          <w:sz w:val="20"/>
          <w:szCs w:val="20"/>
        </w:rPr>
        <w:t>), uma organização público-privada, composta por entes privados, desenvolver funções públicas que atingem o globo de modo indistinto</w:t>
      </w:r>
      <w:r w:rsidRPr="007D698A">
        <w:rPr>
          <w:rFonts w:ascii="Verdana" w:eastAsia="Times New Roman" w:hAnsi="Verdana"/>
          <w:sz w:val="20"/>
          <w:szCs w:val="20"/>
          <w:vertAlign w:val="superscript"/>
        </w:rPr>
        <w:footnoteReference w:id="26"/>
      </w:r>
      <w:r w:rsidRPr="007D698A">
        <w:rPr>
          <w:rFonts w:ascii="Verdana" w:eastAsia="Times New Roman" w:hAnsi="Verdana"/>
          <w:sz w:val="20"/>
          <w:szCs w:val="20"/>
        </w:rPr>
        <w:t>.</w:t>
      </w:r>
    </w:p>
    <w:p w14:paraId="20A654B3" w14:textId="77777777" w:rsidR="007D698A" w:rsidRPr="007D698A" w:rsidRDefault="007D698A" w:rsidP="007D698A">
      <w:pPr>
        <w:spacing w:after="0" w:line="240" w:lineRule="auto"/>
        <w:ind w:firstLine="709"/>
        <w:jc w:val="both"/>
        <w:rPr>
          <w:rFonts w:ascii="Verdana" w:eastAsia="Times New Roman" w:hAnsi="Verdana"/>
          <w:sz w:val="20"/>
          <w:szCs w:val="20"/>
        </w:rPr>
      </w:pPr>
      <w:r w:rsidRPr="007D698A">
        <w:rPr>
          <w:rFonts w:ascii="Verdana" w:eastAsia="Times New Roman" w:hAnsi="Verdana"/>
          <w:sz w:val="20"/>
          <w:szCs w:val="20"/>
        </w:rPr>
        <w:t xml:space="preserve">Por sua vez, existem organizações estritamente privadas, sem condicionantes público-estatais, como é o caso da Federação Internacional de Futebol Associado (FIFA), do Comitê Internacional de </w:t>
      </w:r>
      <w:proofErr w:type="spellStart"/>
      <w:r w:rsidRPr="007D698A">
        <w:rPr>
          <w:rFonts w:ascii="Verdana" w:eastAsia="Times New Roman" w:hAnsi="Verdana"/>
          <w:sz w:val="20"/>
          <w:szCs w:val="20"/>
        </w:rPr>
        <w:t>Estandares</w:t>
      </w:r>
      <w:proofErr w:type="spellEnd"/>
      <w:r w:rsidRPr="007D698A">
        <w:rPr>
          <w:rFonts w:ascii="Verdana" w:eastAsia="Times New Roman" w:hAnsi="Verdana"/>
          <w:sz w:val="20"/>
          <w:szCs w:val="20"/>
        </w:rPr>
        <w:t xml:space="preserve"> Contábeis (IASB), da Agência Mundial Antidopagem (WADA), da Comissão Eletrotécnica Internacional (IEC) e da Câmara Internacional do Comércio (ICC), que elaboram suas normas de modo autônomo</w:t>
      </w:r>
      <w:r w:rsidRPr="007D698A">
        <w:rPr>
          <w:rFonts w:ascii="Verdana" w:eastAsia="Times New Roman" w:hAnsi="Verdana"/>
          <w:sz w:val="20"/>
          <w:szCs w:val="20"/>
          <w:vertAlign w:val="superscript"/>
        </w:rPr>
        <w:footnoteReference w:id="27"/>
      </w:r>
      <w:r w:rsidRPr="007D698A">
        <w:rPr>
          <w:rFonts w:ascii="Verdana" w:eastAsia="Times New Roman" w:hAnsi="Verdana"/>
          <w:sz w:val="20"/>
          <w:szCs w:val="20"/>
        </w:rPr>
        <w:t>. Tal realidade demonstra, sobremaneira, como a atividade legislativa exclusivamente estatal perdeu força nas últimas décadas.</w:t>
      </w:r>
    </w:p>
    <w:p w14:paraId="280C0F60" w14:textId="77777777" w:rsidR="007D698A" w:rsidRPr="007D698A" w:rsidRDefault="007D698A" w:rsidP="007D698A">
      <w:pPr>
        <w:spacing w:after="0" w:line="240" w:lineRule="auto"/>
        <w:ind w:firstLine="709"/>
        <w:jc w:val="both"/>
        <w:rPr>
          <w:rFonts w:ascii="Verdana" w:eastAsia="Times New Roman" w:hAnsi="Verdana"/>
          <w:sz w:val="20"/>
          <w:szCs w:val="20"/>
        </w:rPr>
      </w:pPr>
      <w:r w:rsidRPr="007D698A">
        <w:rPr>
          <w:rFonts w:ascii="Verdana" w:eastAsia="Times New Roman" w:hAnsi="Verdana"/>
          <w:sz w:val="20"/>
          <w:szCs w:val="20"/>
        </w:rPr>
        <w:lastRenderedPageBreak/>
        <w:t xml:space="preserve">De fato, a característica preponderante do sistema está na ausência de um governo político e público e na solidez de um governo privado e econômico da política. Nesse sentido, os mercados financeiros e as grandes corporações, além de alguns milhares de especuladores e de algumas agências privadas de </w:t>
      </w:r>
      <w:r w:rsidRPr="007D698A">
        <w:rPr>
          <w:rFonts w:ascii="Verdana" w:eastAsia="Times New Roman" w:hAnsi="Verdana"/>
          <w:i/>
          <w:sz w:val="20"/>
          <w:szCs w:val="20"/>
        </w:rPr>
        <w:t>rating</w:t>
      </w:r>
      <w:r w:rsidRPr="007D698A">
        <w:rPr>
          <w:rFonts w:ascii="Verdana" w:eastAsia="Times New Roman" w:hAnsi="Verdana"/>
          <w:sz w:val="20"/>
          <w:szCs w:val="20"/>
        </w:rPr>
        <w:t xml:space="preserve">, controlam os Estados impondo suas regras, limites e vínculos. Com efeito, não são mais os </w:t>
      </w:r>
      <w:proofErr w:type="spellStart"/>
      <w:r w:rsidRPr="007D698A">
        <w:rPr>
          <w:rFonts w:ascii="Verdana" w:eastAsia="Times New Roman" w:hAnsi="Verdana"/>
          <w:sz w:val="20"/>
          <w:szCs w:val="20"/>
        </w:rPr>
        <w:t>gov</w:t>
      </w:r>
      <w:proofErr w:type="spellEnd"/>
      <w:r w:rsidRPr="007D698A">
        <w:rPr>
          <w:rFonts w:ascii="Verdana" w:eastAsia="Times New Roman" w:hAnsi="Verdana"/>
          <w:sz w:val="20"/>
          <w:szCs w:val="20"/>
        </w:rPr>
        <w:tab/>
      </w:r>
      <w:proofErr w:type="spellStart"/>
      <w:r w:rsidRPr="007D698A">
        <w:rPr>
          <w:rFonts w:ascii="Verdana" w:eastAsia="Times New Roman" w:hAnsi="Verdana"/>
          <w:sz w:val="20"/>
          <w:szCs w:val="20"/>
        </w:rPr>
        <w:t>ernos</w:t>
      </w:r>
      <w:proofErr w:type="spellEnd"/>
      <w:r w:rsidRPr="007D698A">
        <w:rPr>
          <w:rFonts w:ascii="Verdana" w:eastAsia="Times New Roman" w:hAnsi="Verdana"/>
          <w:sz w:val="20"/>
          <w:szCs w:val="20"/>
        </w:rPr>
        <w:t xml:space="preserve"> democraticamente eleitos que regulam a vida econômica e social em função dos interesses públicos gerais, “mas são as potências invisíveis e politicamente irresponsáveis do capital financeiro que impõem aos Estados políticas antidemocráticas e antissociais, em benefício de interesses privados e especulativos”</w:t>
      </w:r>
      <w:r w:rsidRPr="007D698A">
        <w:rPr>
          <w:rFonts w:ascii="Verdana" w:eastAsia="Times New Roman" w:hAnsi="Verdana"/>
          <w:sz w:val="20"/>
          <w:szCs w:val="20"/>
          <w:vertAlign w:val="superscript"/>
        </w:rPr>
        <w:footnoteReference w:id="28"/>
      </w:r>
      <w:r w:rsidRPr="007D698A">
        <w:rPr>
          <w:rFonts w:ascii="Verdana" w:eastAsia="Times New Roman" w:hAnsi="Verdana"/>
          <w:sz w:val="20"/>
          <w:szCs w:val="20"/>
        </w:rPr>
        <w:t>.</w:t>
      </w:r>
    </w:p>
    <w:p w14:paraId="71B6A020" w14:textId="77777777" w:rsidR="007D698A" w:rsidRPr="007D698A" w:rsidRDefault="007D698A" w:rsidP="007D698A">
      <w:pPr>
        <w:spacing w:after="0" w:line="240" w:lineRule="auto"/>
        <w:ind w:firstLine="709"/>
        <w:jc w:val="both"/>
        <w:rPr>
          <w:rFonts w:ascii="Verdana" w:eastAsia="Times New Roman" w:hAnsi="Verdana"/>
          <w:sz w:val="20"/>
          <w:szCs w:val="20"/>
        </w:rPr>
      </w:pPr>
      <w:r w:rsidRPr="007D698A">
        <w:rPr>
          <w:rFonts w:ascii="Verdana" w:eastAsia="Times New Roman" w:hAnsi="Verdana"/>
          <w:sz w:val="20"/>
          <w:szCs w:val="20"/>
        </w:rPr>
        <w:t>Enfim, existem inúmeros outros exemplos em que se verifica a interferência de atores privados em âmbitos eminentemente públicos. Nessa perspectiva, a constatação que se faz é que a operação dos Estados em sistemas globais cada vez mais complexos, afeta tanto sua autonomia, quanto, em último caso, sua soberania. O alerta fica, exatamente, na erosão do poder estatal que, às margens de gigantes privados exercendo seu poder sem contrapesos</w:t>
      </w:r>
      <w:r w:rsidRPr="007D698A">
        <w:rPr>
          <w:rFonts w:ascii="Verdana" w:eastAsia="Times New Roman" w:hAnsi="Verdana"/>
          <w:sz w:val="20"/>
          <w:szCs w:val="20"/>
          <w:vertAlign w:val="superscript"/>
        </w:rPr>
        <w:footnoteReference w:id="29"/>
      </w:r>
      <w:r w:rsidRPr="007D698A">
        <w:rPr>
          <w:rFonts w:ascii="Verdana" w:eastAsia="Times New Roman" w:hAnsi="Verdana"/>
          <w:sz w:val="20"/>
          <w:szCs w:val="20"/>
        </w:rPr>
        <w:t>, perde sua capacidade de gestão em torno de interesses públicos gerais, deixando para trás sujeitos mais frágeis e que dependeriam de ações estatais para terem seus direitos resguardados.</w:t>
      </w:r>
    </w:p>
    <w:p w14:paraId="0629EC0E" w14:textId="77777777" w:rsidR="007D698A" w:rsidRPr="007D698A" w:rsidRDefault="007D698A" w:rsidP="007D698A">
      <w:pPr>
        <w:spacing w:after="0" w:line="240" w:lineRule="auto"/>
        <w:jc w:val="both"/>
        <w:rPr>
          <w:rFonts w:ascii="Verdana" w:eastAsia="Times New Roman" w:hAnsi="Verdana"/>
          <w:sz w:val="20"/>
          <w:szCs w:val="20"/>
        </w:rPr>
      </w:pPr>
    </w:p>
    <w:p w14:paraId="11519574" w14:textId="77777777" w:rsidR="007D698A" w:rsidRPr="007D698A" w:rsidRDefault="007D698A" w:rsidP="007D698A">
      <w:pPr>
        <w:spacing w:after="0" w:line="240" w:lineRule="auto"/>
        <w:jc w:val="both"/>
        <w:rPr>
          <w:rFonts w:ascii="Verdana" w:eastAsia="Times New Roman" w:hAnsi="Verdana"/>
          <w:b/>
          <w:sz w:val="20"/>
          <w:szCs w:val="20"/>
        </w:rPr>
      </w:pPr>
      <w:r w:rsidRPr="007D698A">
        <w:rPr>
          <w:rFonts w:ascii="Verdana" w:eastAsia="Times New Roman" w:hAnsi="Verdana"/>
          <w:b/>
          <w:sz w:val="20"/>
          <w:szCs w:val="20"/>
        </w:rPr>
        <w:t>3 Emergência e protagonismo de atores privados</w:t>
      </w:r>
    </w:p>
    <w:p w14:paraId="01DF37BF" w14:textId="77777777" w:rsidR="007D698A" w:rsidRPr="007D698A" w:rsidRDefault="007D698A" w:rsidP="007D698A">
      <w:pPr>
        <w:spacing w:after="0" w:line="240" w:lineRule="auto"/>
        <w:ind w:firstLine="709"/>
        <w:jc w:val="both"/>
        <w:rPr>
          <w:rFonts w:ascii="Verdana" w:eastAsia="Times New Roman" w:hAnsi="Verdana"/>
          <w:sz w:val="20"/>
          <w:szCs w:val="20"/>
        </w:rPr>
      </w:pPr>
    </w:p>
    <w:p w14:paraId="6B6A3B21" w14:textId="77777777" w:rsidR="007D698A" w:rsidRPr="007D698A" w:rsidRDefault="007D698A" w:rsidP="007D698A">
      <w:pPr>
        <w:spacing w:after="0" w:line="240" w:lineRule="auto"/>
        <w:ind w:firstLine="709"/>
        <w:jc w:val="both"/>
        <w:rPr>
          <w:rFonts w:ascii="Verdana" w:eastAsia="Times New Roman" w:hAnsi="Verdana"/>
          <w:sz w:val="20"/>
          <w:szCs w:val="20"/>
        </w:rPr>
      </w:pPr>
      <w:r w:rsidRPr="007D698A">
        <w:rPr>
          <w:rFonts w:ascii="Verdana" w:eastAsia="Times New Roman" w:hAnsi="Verdana"/>
          <w:sz w:val="20"/>
          <w:szCs w:val="20"/>
        </w:rPr>
        <w:t>Com base nos argumentos dissertados nas páginas anteriores, confirma-se a existência de uma crise do Estado impulsionada pela globalização. Desse modo, as conexões entre mercados, instituições, produtos e serviços fizeram com que boa parte dos mecanismos de poder e controle do Estado se tornassem insuficientes, principalmente em razão da dependência da política em relação à economia. Em síntese, a esfera pública foi tomada por atores privados e poderes econômicos</w:t>
      </w:r>
      <w:r w:rsidRPr="007D698A">
        <w:rPr>
          <w:rFonts w:ascii="Verdana" w:eastAsia="Times New Roman" w:hAnsi="Verdana"/>
          <w:sz w:val="20"/>
          <w:szCs w:val="20"/>
          <w:vertAlign w:val="superscript"/>
        </w:rPr>
        <w:footnoteReference w:id="30"/>
      </w:r>
      <w:r w:rsidRPr="007D698A">
        <w:rPr>
          <w:rFonts w:ascii="Verdana" w:eastAsia="Times New Roman" w:hAnsi="Verdana"/>
          <w:sz w:val="20"/>
          <w:szCs w:val="20"/>
        </w:rPr>
        <w:t>.</w:t>
      </w:r>
    </w:p>
    <w:p w14:paraId="656B494A" w14:textId="77777777" w:rsidR="007D698A" w:rsidRPr="007D698A" w:rsidRDefault="007D698A" w:rsidP="007D698A">
      <w:pPr>
        <w:spacing w:after="0" w:line="240" w:lineRule="auto"/>
        <w:ind w:firstLine="709"/>
        <w:jc w:val="both"/>
        <w:rPr>
          <w:rFonts w:ascii="Verdana" w:eastAsia="Times New Roman" w:hAnsi="Verdana"/>
          <w:sz w:val="20"/>
          <w:szCs w:val="20"/>
        </w:rPr>
      </w:pPr>
      <w:r w:rsidRPr="007D698A">
        <w:rPr>
          <w:rFonts w:ascii="Verdana" w:eastAsia="Times New Roman" w:hAnsi="Verdana"/>
          <w:sz w:val="20"/>
          <w:szCs w:val="20"/>
        </w:rPr>
        <w:t>Nessa perspectiva, a engrenagem institucional forjada à volta do Estado-nação e o pensamento jurídico constituído a partir daí, sobretudo à ideia de soberania, têm sido crescentemente ameaçados pela complexidade dos processos da globalização, diretamente no que diz respeito à autonomia decisória do Estado. Portanto, ao impactar a soberania do Estado-nação, a globalização alcança o exato núcleo no entorno do qual se desenvolve e se sustenta a figura estatal fazendo com que as estruturas institucionais, organizacionais, políticas e jurídicas tendam a perder sua centralidade e exclusividade</w:t>
      </w:r>
      <w:r w:rsidRPr="007D698A">
        <w:rPr>
          <w:rFonts w:ascii="Verdana" w:eastAsia="Times New Roman" w:hAnsi="Verdana"/>
          <w:sz w:val="20"/>
          <w:szCs w:val="20"/>
          <w:vertAlign w:val="superscript"/>
        </w:rPr>
        <w:footnoteReference w:id="31"/>
      </w:r>
      <w:r w:rsidRPr="007D698A">
        <w:rPr>
          <w:rFonts w:ascii="Verdana" w:eastAsia="Times New Roman" w:hAnsi="Verdana"/>
          <w:sz w:val="20"/>
          <w:szCs w:val="20"/>
        </w:rPr>
        <w:t>.</w:t>
      </w:r>
    </w:p>
    <w:p w14:paraId="5FE786CE" w14:textId="77777777" w:rsidR="007D698A" w:rsidRPr="007D698A" w:rsidRDefault="007D698A" w:rsidP="007D698A">
      <w:pPr>
        <w:spacing w:after="0" w:line="240" w:lineRule="auto"/>
        <w:ind w:firstLine="709"/>
        <w:jc w:val="both"/>
        <w:rPr>
          <w:rFonts w:ascii="Verdana" w:eastAsia="Times New Roman" w:hAnsi="Verdana"/>
          <w:sz w:val="20"/>
          <w:szCs w:val="20"/>
        </w:rPr>
      </w:pPr>
      <w:r w:rsidRPr="007D698A">
        <w:rPr>
          <w:rFonts w:ascii="Verdana" w:eastAsia="Times New Roman" w:hAnsi="Verdana"/>
          <w:sz w:val="20"/>
          <w:szCs w:val="20"/>
        </w:rPr>
        <w:lastRenderedPageBreak/>
        <w:t>Nesta situação de crise, reitera-se a presença de uma ação puramente econômica desprovida de qualquer projeto político ou social. Os dirigentes nacionais perderam inclusive sua capacidade de ação a partir do momento em que a economia se tornou largamente global. Dessa forma, o enriquecimento dos especuladores desenhou o quadro no qual uma grande maioria da população é privada de uma base de apoio para defender seus interesses ou limitar suas perdas. Em última análise, pode-se compreender que a crise marca a completa separação entre o mundo econômico, cada vez mais globalizado, e o mundo social</w:t>
      </w:r>
      <w:r w:rsidRPr="007D698A">
        <w:rPr>
          <w:rFonts w:ascii="Verdana" w:eastAsia="Times New Roman" w:hAnsi="Verdana"/>
          <w:sz w:val="20"/>
          <w:szCs w:val="20"/>
          <w:vertAlign w:val="superscript"/>
        </w:rPr>
        <w:footnoteReference w:id="32"/>
      </w:r>
      <w:r w:rsidRPr="007D698A">
        <w:rPr>
          <w:rFonts w:ascii="Verdana" w:eastAsia="Times New Roman" w:hAnsi="Verdana"/>
          <w:sz w:val="20"/>
          <w:szCs w:val="20"/>
        </w:rPr>
        <w:t>.</w:t>
      </w:r>
    </w:p>
    <w:p w14:paraId="502B6E64" w14:textId="77777777" w:rsidR="007D698A" w:rsidRPr="007D698A" w:rsidRDefault="007D698A" w:rsidP="007D698A">
      <w:pPr>
        <w:spacing w:after="0" w:line="240" w:lineRule="auto"/>
        <w:ind w:firstLine="709"/>
        <w:jc w:val="both"/>
        <w:rPr>
          <w:rFonts w:ascii="Verdana" w:eastAsia="Times New Roman" w:hAnsi="Verdana"/>
          <w:sz w:val="20"/>
          <w:szCs w:val="20"/>
        </w:rPr>
      </w:pPr>
      <w:r w:rsidRPr="007D698A">
        <w:rPr>
          <w:rFonts w:ascii="Verdana" w:eastAsia="Times New Roman" w:hAnsi="Verdana"/>
          <w:sz w:val="20"/>
          <w:szCs w:val="20"/>
        </w:rPr>
        <w:t xml:space="preserve">Inobstante a isso, a crescente atuação dos poderes econômicos se manifesta em múltiplas formas de corrupção, </w:t>
      </w:r>
      <w:r w:rsidRPr="007D698A">
        <w:rPr>
          <w:rFonts w:ascii="Verdana" w:eastAsia="Times New Roman" w:hAnsi="Verdana"/>
          <w:i/>
          <w:sz w:val="20"/>
          <w:szCs w:val="20"/>
        </w:rPr>
        <w:t>lobbies</w:t>
      </w:r>
      <w:r w:rsidRPr="007D698A">
        <w:rPr>
          <w:rFonts w:ascii="Verdana" w:eastAsia="Times New Roman" w:hAnsi="Verdana"/>
          <w:sz w:val="20"/>
          <w:szCs w:val="20"/>
        </w:rPr>
        <w:t>, financiamentos de campanhas eleitorais, dentre outros. O poder corporativo tornou-se sistêmico, capturando cada uma das diversas dimensões de expressão e exercício de poder, projetando uma nova dinâmica, ou uma nova arquitetura do poder realmente existente</w:t>
      </w:r>
      <w:r w:rsidRPr="007D698A">
        <w:rPr>
          <w:rFonts w:ascii="Verdana" w:eastAsia="Times New Roman" w:hAnsi="Verdana"/>
          <w:sz w:val="20"/>
          <w:szCs w:val="20"/>
          <w:vertAlign w:val="superscript"/>
        </w:rPr>
        <w:footnoteReference w:id="33"/>
      </w:r>
      <w:r w:rsidRPr="007D698A">
        <w:rPr>
          <w:rFonts w:ascii="Verdana" w:eastAsia="Times New Roman" w:hAnsi="Verdana"/>
          <w:sz w:val="20"/>
          <w:szCs w:val="20"/>
        </w:rPr>
        <w:t xml:space="preserve">. Nesse contexto, a prática de </w:t>
      </w:r>
      <w:r w:rsidRPr="007D698A">
        <w:rPr>
          <w:rFonts w:ascii="Verdana" w:eastAsia="Times New Roman" w:hAnsi="Verdana"/>
          <w:i/>
          <w:sz w:val="20"/>
          <w:szCs w:val="20"/>
        </w:rPr>
        <w:t>lobby</w:t>
      </w:r>
      <w:r w:rsidRPr="007D698A">
        <w:rPr>
          <w:rFonts w:ascii="Verdana" w:eastAsia="Times New Roman" w:hAnsi="Verdana"/>
          <w:sz w:val="20"/>
          <w:szCs w:val="20"/>
        </w:rPr>
        <w:t xml:space="preserve"> vem ganhando cada vez mais espaço e relevância como uma forma de deter poder das corporações, bem como de penetrar nas decisões políticas</w:t>
      </w:r>
      <w:r w:rsidRPr="007D698A">
        <w:rPr>
          <w:rFonts w:ascii="Verdana" w:eastAsia="Times New Roman" w:hAnsi="Verdana"/>
          <w:sz w:val="20"/>
          <w:szCs w:val="20"/>
          <w:vertAlign w:val="superscript"/>
        </w:rPr>
        <w:footnoteReference w:id="34"/>
      </w:r>
      <w:r w:rsidRPr="007D698A">
        <w:rPr>
          <w:rFonts w:ascii="Verdana" w:eastAsia="Times New Roman" w:hAnsi="Verdana"/>
          <w:sz w:val="20"/>
          <w:szCs w:val="20"/>
        </w:rPr>
        <w:t>.</w:t>
      </w:r>
    </w:p>
    <w:p w14:paraId="2D36DF33" w14:textId="77777777" w:rsidR="007D698A" w:rsidRPr="007D698A" w:rsidRDefault="007D698A" w:rsidP="007D698A">
      <w:pPr>
        <w:spacing w:after="0" w:line="240" w:lineRule="auto"/>
        <w:ind w:firstLine="709"/>
        <w:jc w:val="both"/>
        <w:rPr>
          <w:rFonts w:ascii="Verdana" w:eastAsia="Times New Roman" w:hAnsi="Verdana"/>
          <w:sz w:val="20"/>
          <w:szCs w:val="20"/>
          <w:shd w:val="clear" w:color="auto" w:fill="FFFFFF"/>
        </w:rPr>
      </w:pPr>
      <w:r w:rsidRPr="007D698A">
        <w:rPr>
          <w:rFonts w:ascii="Verdana" w:eastAsia="Times New Roman" w:hAnsi="Verdana"/>
          <w:sz w:val="20"/>
          <w:szCs w:val="20"/>
        </w:rPr>
        <w:t>Como exemplo ilustrativo, a</w:t>
      </w:r>
      <w:r w:rsidRPr="007D698A">
        <w:rPr>
          <w:rFonts w:ascii="Verdana" w:eastAsia="Times New Roman" w:hAnsi="Verdana"/>
          <w:sz w:val="20"/>
          <w:szCs w:val="20"/>
          <w:shd w:val="clear" w:color="auto" w:fill="FFFFFF"/>
        </w:rPr>
        <w:t xml:space="preserve"> </w:t>
      </w:r>
      <w:r w:rsidRPr="007D698A">
        <w:rPr>
          <w:rFonts w:ascii="Verdana" w:eastAsia="Times New Roman" w:hAnsi="Verdana"/>
          <w:i/>
          <w:sz w:val="20"/>
          <w:szCs w:val="20"/>
          <w:shd w:val="clear" w:color="auto" w:fill="FFFFFF"/>
        </w:rPr>
        <w:t xml:space="preserve">Google, </w:t>
      </w:r>
      <w:r w:rsidRPr="007D698A">
        <w:rPr>
          <w:rFonts w:ascii="Verdana" w:eastAsia="Times New Roman" w:hAnsi="Verdana"/>
          <w:sz w:val="20"/>
          <w:szCs w:val="20"/>
          <w:shd w:val="clear" w:color="auto" w:fill="FFFFFF"/>
        </w:rPr>
        <w:t>em 2014, recrutou membros do congresso americano (que havia financiado durante o período eleitoral), para pressionar a União Europeia a desistir de um caso antitruste que ameaçaria dizimar os negócios da empresa de tecnologia dos Estados Unidos na Europa</w:t>
      </w:r>
      <w:r w:rsidRPr="007D698A">
        <w:rPr>
          <w:rFonts w:ascii="Verdana" w:eastAsia="Times New Roman" w:hAnsi="Verdana"/>
          <w:sz w:val="20"/>
          <w:szCs w:val="20"/>
          <w:shd w:val="clear" w:color="auto" w:fill="FFFFFF"/>
          <w:vertAlign w:val="superscript"/>
        </w:rPr>
        <w:footnoteReference w:id="35"/>
      </w:r>
      <w:r w:rsidRPr="007D698A">
        <w:rPr>
          <w:rFonts w:ascii="Verdana" w:eastAsia="Times New Roman" w:hAnsi="Verdana"/>
          <w:sz w:val="20"/>
          <w:szCs w:val="20"/>
          <w:shd w:val="clear" w:color="auto" w:fill="FFFFFF"/>
        </w:rPr>
        <w:t>.</w:t>
      </w:r>
      <w:r w:rsidRPr="007D698A">
        <w:rPr>
          <w:rFonts w:ascii="Verdana" w:eastAsia="Times New Roman" w:hAnsi="Verdana"/>
          <w:sz w:val="20"/>
          <w:szCs w:val="20"/>
        </w:rPr>
        <w:t xml:space="preserve"> É interessante destacar que os </w:t>
      </w:r>
      <w:r w:rsidRPr="007D698A">
        <w:rPr>
          <w:rFonts w:ascii="Verdana" w:eastAsia="Times New Roman" w:hAnsi="Verdana"/>
          <w:i/>
          <w:sz w:val="20"/>
          <w:szCs w:val="20"/>
        </w:rPr>
        <w:t xml:space="preserve">lobbies </w:t>
      </w:r>
      <w:r w:rsidRPr="007D698A">
        <w:rPr>
          <w:rFonts w:ascii="Verdana" w:eastAsia="Times New Roman" w:hAnsi="Verdana"/>
          <w:sz w:val="20"/>
          <w:szCs w:val="20"/>
        </w:rPr>
        <w:t xml:space="preserve">são considerados práticas legais no contexto estadunidense e as empresas do Vale do Silício têm gasto muito dinheiro para </w:t>
      </w:r>
      <w:r w:rsidRPr="007D698A">
        <w:rPr>
          <w:rFonts w:ascii="Verdana" w:eastAsia="Times New Roman" w:hAnsi="Verdana"/>
          <w:sz w:val="20"/>
          <w:szCs w:val="20"/>
          <w:shd w:val="clear" w:color="auto" w:fill="FFFFFF"/>
        </w:rPr>
        <w:t xml:space="preserve">melhorar sua imagem e transpassar as estruturas do poder. Convém notar que a </w:t>
      </w:r>
      <w:r w:rsidRPr="007D698A">
        <w:rPr>
          <w:rFonts w:ascii="Verdana" w:eastAsia="Times New Roman" w:hAnsi="Verdana"/>
          <w:i/>
          <w:sz w:val="20"/>
          <w:szCs w:val="20"/>
          <w:shd w:val="clear" w:color="auto" w:fill="FFFFFF"/>
        </w:rPr>
        <w:t>Google</w:t>
      </w:r>
      <w:r w:rsidRPr="007D698A">
        <w:rPr>
          <w:rFonts w:ascii="Verdana" w:eastAsia="Times New Roman" w:hAnsi="Verdana"/>
          <w:sz w:val="20"/>
          <w:szCs w:val="20"/>
          <w:shd w:val="clear" w:color="auto" w:fill="FFFFFF"/>
        </w:rPr>
        <w:t xml:space="preserve"> bateu o seu próprio recorde, com 18 milhões de dólares (56,7 milhões de reais) em 2017, situando-se pela primeira vez como a empresa que mais gastou para influenciar os legisladores</w:t>
      </w:r>
      <w:r w:rsidRPr="007D698A">
        <w:rPr>
          <w:rFonts w:ascii="Verdana" w:eastAsia="Times New Roman" w:hAnsi="Verdana"/>
          <w:sz w:val="20"/>
          <w:szCs w:val="20"/>
          <w:shd w:val="clear" w:color="auto" w:fill="FFFFFF"/>
          <w:vertAlign w:val="superscript"/>
        </w:rPr>
        <w:footnoteReference w:id="36"/>
      </w:r>
      <w:r w:rsidRPr="007D698A">
        <w:rPr>
          <w:rFonts w:ascii="Verdana" w:eastAsia="Times New Roman" w:hAnsi="Verdana"/>
          <w:sz w:val="20"/>
          <w:szCs w:val="20"/>
          <w:shd w:val="clear" w:color="auto" w:fill="FFFFFF"/>
        </w:rPr>
        <w:t>.</w:t>
      </w:r>
    </w:p>
    <w:p w14:paraId="2D1D7E72" w14:textId="77777777" w:rsidR="007D698A" w:rsidRPr="007D698A" w:rsidRDefault="007D698A" w:rsidP="007D698A">
      <w:pPr>
        <w:spacing w:after="0" w:line="240" w:lineRule="auto"/>
        <w:ind w:firstLine="709"/>
        <w:jc w:val="both"/>
        <w:rPr>
          <w:rFonts w:ascii="Verdana" w:eastAsia="Times New Roman" w:hAnsi="Verdana"/>
          <w:sz w:val="20"/>
          <w:szCs w:val="20"/>
          <w:shd w:val="clear" w:color="auto" w:fill="FFFFFF"/>
        </w:rPr>
      </w:pPr>
      <w:r w:rsidRPr="007D698A">
        <w:rPr>
          <w:rFonts w:ascii="Verdana" w:eastAsia="Times New Roman" w:hAnsi="Verdana"/>
          <w:sz w:val="20"/>
          <w:szCs w:val="20"/>
          <w:shd w:val="clear" w:color="auto" w:fill="FFFFFF"/>
        </w:rPr>
        <w:t xml:space="preserve">Deve ser ressaltado que, no Brasil, há poucas evidências que constatam sistematicamente como a atuação de determinados </w:t>
      </w:r>
      <w:r w:rsidRPr="007D698A">
        <w:rPr>
          <w:rFonts w:ascii="Verdana" w:eastAsia="Times New Roman" w:hAnsi="Verdana"/>
          <w:i/>
          <w:sz w:val="20"/>
          <w:szCs w:val="20"/>
          <w:shd w:val="clear" w:color="auto" w:fill="FFFFFF"/>
        </w:rPr>
        <w:t>lobbies</w:t>
      </w:r>
      <w:r w:rsidRPr="007D698A">
        <w:rPr>
          <w:rFonts w:ascii="Verdana" w:eastAsia="Times New Roman" w:hAnsi="Verdana"/>
          <w:sz w:val="20"/>
          <w:szCs w:val="20"/>
          <w:shd w:val="clear" w:color="auto" w:fill="FFFFFF"/>
        </w:rPr>
        <w:t xml:space="preserve"> influenciam nas decisões do Congresso Nacional</w:t>
      </w:r>
      <w:r w:rsidRPr="007D698A">
        <w:rPr>
          <w:rFonts w:ascii="Verdana" w:eastAsia="Times New Roman" w:hAnsi="Verdana"/>
          <w:sz w:val="20"/>
          <w:szCs w:val="20"/>
          <w:shd w:val="clear" w:color="auto" w:fill="FFFFFF"/>
          <w:vertAlign w:val="superscript"/>
        </w:rPr>
        <w:footnoteReference w:id="37"/>
      </w:r>
      <w:r w:rsidRPr="007D698A">
        <w:rPr>
          <w:rFonts w:ascii="Verdana" w:eastAsia="Times New Roman" w:hAnsi="Verdana"/>
          <w:sz w:val="20"/>
          <w:szCs w:val="20"/>
          <w:shd w:val="clear" w:color="auto" w:fill="FFFFFF"/>
        </w:rPr>
        <w:t xml:space="preserve">. De qualquer modo, a prática tem correspondência com a ideia da defesa de interesses junto aos membros do poder público, responsáveis </w:t>
      </w:r>
      <w:r w:rsidRPr="007D698A">
        <w:rPr>
          <w:rFonts w:ascii="Verdana" w:eastAsia="Times New Roman" w:hAnsi="Verdana"/>
          <w:sz w:val="20"/>
          <w:szCs w:val="20"/>
          <w:shd w:val="clear" w:color="auto" w:fill="FFFFFF"/>
        </w:rPr>
        <w:lastRenderedPageBreak/>
        <w:t>pelas tomadas de decisões políticas</w:t>
      </w:r>
      <w:r w:rsidRPr="007D698A">
        <w:rPr>
          <w:rFonts w:ascii="Verdana" w:eastAsia="Times New Roman" w:hAnsi="Verdana"/>
          <w:sz w:val="20"/>
          <w:szCs w:val="20"/>
          <w:shd w:val="clear" w:color="auto" w:fill="FFFFFF"/>
          <w:vertAlign w:val="superscript"/>
        </w:rPr>
        <w:footnoteReference w:id="38"/>
      </w:r>
      <w:r w:rsidRPr="007D698A">
        <w:rPr>
          <w:rFonts w:ascii="Verdana" w:eastAsia="Times New Roman" w:hAnsi="Verdana"/>
          <w:sz w:val="20"/>
          <w:szCs w:val="20"/>
          <w:shd w:val="clear" w:color="auto" w:fill="FFFFFF"/>
        </w:rPr>
        <w:t xml:space="preserve">. Todavia, é importante fazer referência de que a equiparação de </w:t>
      </w:r>
      <w:r w:rsidRPr="007D698A">
        <w:rPr>
          <w:rFonts w:ascii="Verdana" w:eastAsia="Times New Roman" w:hAnsi="Verdana"/>
          <w:i/>
          <w:sz w:val="20"/>
          <w:szCs w:val="20"/>
          <w:shd w:val="clear" w:color="auto" w:fill="FFFFFF"/>
        </w:rPr>
        <w:t xml:space="preserve">lobby </w:t>
      </w:r>
      <w:r w:rsidRPr="007D698A">
        <w:rPr>
          <w:rFonts w:ascii="Verdana" w:eastAsia="Times New Roman" w:hAnsi="Verdana"/>
          <w:sz w:val="20"/>
          <w:szCs w:val="20"/>
          <w:shd w:val="clear" w:color="auto" w:fill="FFFFFF"/>
        </w:rPr>
        <w:t xml:space="preserve">com corrupção é equivocada. A partir do exemplo norte-americano, a institucionalização dessa prática pressupõe a abertura, por meio de participação e, até mesmo, intervenção, dos grupos interessados nos processos </w:t>
      </w:r>
      <w:proofErr w:type="spellStart"/>
      <w:r w:rsidRPr="007D698A">
        <w:rPr>
          <w:rFonts w:ascii="Verdana" w:eastAsia="Times New Roman" w:hAnsi="Verdana"/>
          <w:sz w:val="20"/>
          <w:szCs w:val="20"/>
          <w:shd w:val="clear" w:color="auto" w:fill="FFFFFF"/>
        </w:rPr>
        <w:t>decisionais</w:t>
      </w:r>
      <w:proofErr w:type="spellEnd"/>
      <w:r w:rsidRPr="007D698A">
        <w:rPr>
          <w:rFonts w:ascii="Verdana" w:eastAsia="Times New Roman" w:hAnsi="Verdana"/>
          <w:sz w:val="20"/>
          <w:szCs w:val="20"/>
          <w:shd w:val="clear" w:color="auto" w:fill="FFFFFF"/>
          <w:vertAlign w:val="superscript"/>
        </w:rPr>
        <w:footnoteReference w:id="39"/>
      </w:r>
      <w:r w:rsidRPr="007D698A">
        <w:rPr>
          <w:rFonts w:ascii="Verdana" w:eastAsia="Times New Roman" w:hAnsi="Verdana"/>
          <w:sz w:val="20"/>
          <w:szCs w:val="20"/>
          <w:shd w:val="clear" w:color="auto" w:fill="FFFFFF"/>
        </w:rPr>
        <w:t>.</w:t>
      </w:r>
    </w:p>
    <w:p w14:paraId="5F88A9DD" w14:textId="77777777" w:rsidR="007D698A" w:rsidRPr="007D698A" w:rsidRDefault="007D698A" w:rsidP="007D698A">
      <w:pPr>
        <w:spacing w:after="0" w:line="240" w:lineRule="auto"/>
        <w:ind w:firstLine="709"/>
        <w:jc w:val="both"/>
        <w:rPr>
          <w:rFonts w:ascii="Verdana" w:eastAsia="Times New Roman" w:hAnsi="Verdana"/>
          <w:sz w:val="20"/>
          <w:szCs w:val="20"/>
          <w:shd w:val="clear" w:color="auto" w:fill="FFFFFF"/>
        </w:rPr>
      </w:pPr>
      <w:r w:rsidRPr="007D698A">
        <w:rPr>
          <w:rFonts w:ascii="Verdana" w:eastAsia="Times New Roman" w:hAnsi="Verdana"/>
          <w:sz w:val="20"/>
          <w:szCs w:val="20"/>
          <w:shd w:val="clear" w:color="auto" w:fill="FFFFFF"/>
        </w:rPr>
        <w:t>Dando prosseguimento à proposta de elucidação do protagonismo dos atores econômicos em conexão à ausência de políticas econômicas e sociais comuns a todos os cidadãos do Estado, destaca-se o aumento das políticas de austeridade</w:t>
      </w:r>
      <w:r w:rsidRPr="007D698A">
        <w:rPr>
          <w:rFonts w:ascii="Verdana" w:eastAsia="Times New Roman" w:hAnsi="Verdana"/>
          <w:sz w:val="20"/>
          <w:szCs w:val="20"/>
          <w:shd w:val="clear" w:color="auto" w:fill="FFFFFF"/>
          <w:vertAlign w:val="superscript"/>
        </w:rPr>
        <w:footnoteReference w:id="40"/>
      </w:r>
      <w:r w:rsidRPr="007D698A">
        <w:rPr>
          <w:rFonts w:ascii="Verdana" w:eastAsia="Times New Roman" w:hAnsi="Verdana"/>
          <w:sz w:val="20"/>
          <w:szCs w:val="20"/>
          <w:shd w:val="clear" w:color="auto" w:fill="FFFFFF"/>
        </w:rPr>
        <w:t>, especialmente nos últimos anos. Essas políticas que, em grande parte, são impostas aos Estados por setores influentes da economia, afetam o plano social de desenvolvimento, bem como geram inúmeros prejuízos aos direitos sociais e do trabalho e, consequentemente, a maior parte da população que vive em condições vulneráveis.</w:t>
      </w:r>
    </w:p>
    <w:p w14:paraId="18E963F2" w14:textId="77777777" w:rsidR="007D698A" w:rsidRPr="007D698A" w:rsidRDefault="007D698A" w:rsidP="007D698A">
      <w:pPr>
        <w:spacing w:after="0" w:line="240" w:lineRule="auto"/>
        <w:ind w:firstLine="709"/>
        <w:jc w:val="both"/>
        <w:rPr>
          <w:rFonts w:ascii="Verdana" w:eastAsia="Times New Roman" w:hAnsi="Verdana"/>
          <w:sz w:val="20"/>
          <w:szCs w:val="20"/>
          <w:shd w:val="clear" w:color="auto" w:fill="FFFFFF"/>
        </w:rPr>
      </w:pPr>
      <w:r w:rsidRPr="007D698A">
        <w:rPr>
          <w:rFonts w:ascii="Verdana" w:eastAsia="Times New Roman" w:hAnsi="Verdana"/>
          <w:sz w:val="20"/>
          <w:szCs w:val="20"/>
          <w:shd w:val="clear" w:color="auto" w:fill="FFFFFF"/>
        </w:rPr>
        <w:t>Nesse sentido, as políticas de austeridade, embora sejam revestidas de um caráter ilusório de regulação do sistema financeiro, na verdade são equivocadas, pois consistem em respostas apenas às consequências da crise global, não sendo possível nenhum crescimento em longo prazo sem que haja uma distribuição equânime de riqueza. Com o implemento de políticas de austeridade, verifica-se a redução das prestações do Estado social, acompanhadas de diminuição dos salários dos trabalhadores e do aumento do desemprego, o que determina um efeito cascata em relação ao consumo</w:t>
      </w:r>
      <w:r w:rsidRPr="007D698A">
        <w:rPr>
          <w:rFonts w:ascii="Verdana" w:eastAsia="Times New Roman" w:hAnsi="Verdana"/>
          <w:sz w:val="20"/>
          <w:szCs w:val="20"/>
          <w:shd w:val="clear" w:color="auto" w:fill="FFFFFF"/>
          <w:vertAlign w:val="superscript"/>
        </w:rPr>
        <w:footnoteReference w:id="41"/>
      </w:r>
      <w:r w:rsidRPr="007D698A">
        <w:rPr>
          <w:rFonts w:ascii="Verdana" w:eastAsia="Times New Roman" w:hAnsi="Verdana"/>
          <w:sz w:val="20"/>
          <w:szCs w:val="20"/>
          <w:shd w:val="clear" w:color="auto" w:fill="FFFFFF"/>
        </w:rPr>
        <w:t>.</w:t>
      </w:r>
    </w:p>
    <w:p w14:paraId="4CABFA87" w14:textId="77777777" w:rsidR="007D698A" w:rsidRPr="007D698A" w:rsidRDefault="007D698A" w:rsidP="007D698A">
      <w:pPr>
        <w:spacing w:after="0" w:line="240" w:lineRule="auto"/>
        <w:ind w:firstLine="709"/>
        <w:jc w:val="both"/>
        <w:rPr>
          <w:rFonts w:ascii="Verdana" w:eastAsia="Times New Roman" w:hAnsi="Verdana"/>
          <w:sz w:val="20"/>
          <w:szCs w:val="20"/>
          <w:shd w:val="clear" w:color="auto" w:fill="FFFFFF"/>
        </w:rPr>
      </w:pPr>
      <w:r w:rsidRPr="007D698A">
        <w:rPr>
          <w:rFonts w:ascii="Verdana" w:eastAsia="Times New Roman" w:hAnsi="Verdana"/>
          <w:sz w:val="20"/>
          <w:szCs w:val="20"/>
          <w:shd w:val="clear" w:color="auto" w:fill="FFFFFF"/>
        </w:rPr>
        <w:t>Sob essa perspectiva, a demanda por bens e serviços é abatida, há o agravamento da diminuição do crédito e, diante disso, o desencorajamento dos investimentos e o fechamento de milhares de empresas, fazendo com que haja o comprometimento do crescimento dos países. Nessa linha de pensamento, por meio das restrições da esfera pública e das políticas de austeridade “em prejuízo dos direitos sociais e do trabalho, chega-se a uma espiral perversa cujo êxito final e desastroso no plano econômico e no plano social é uma gigantesca transferência de riqueza das classes mais pobres para as classes mais ricas”</w:t>
      </w:r>
      <w:r w:rsidRPr="007D698A">
        <w:rPr>
          <w:rFonts w:ascii="Verdana" w:eastAsia="Times New Roman" w:hAnsi="Verdana"/>
          <w:sz w:val="20"/>
          <w:szCs w:val="20"/>
          <w:shd w:val="clear" w:color="auto" w:fill="FFFFFF"/>
          <w:vertAlign w:val="superscript"/>
        </w:rPr>
        <w:footnoteReference w:id="42"/>
      </w:r>
      <w:r w:rsidRPr="007D698A">
        <w:rPr>
          <w:rFonts w:ascii="Verdana" w:eastAsia="Times New Roman" w:hAnsi="Verdana"/>
          <w:sz w:val="20"/>
          <w:szCs w:val="20"/>
          <w:shd w:val="clear" w:color="auto" w:fill="FFFFFF"/>
        </w:rPr>
        <w:t>.</w:t>
      </w:r>
    </w:p>
    <w:p w14:paraId="7CB6EF0C" w14:textId="77777777" w:rsidR="007D698A" w:rsidRPr="007D698A" w:rsidRDefault="007D698A" w:rsidP="007D698A">
      <w:pPr>
        <w:spacing w:after="0" w:line="240" w:lineRule="auto"/>
        <w:ind w:firstLine="709"/>
        <w:jc w:val="both"/>
        <w:rPr>
          <w:rFonts w:ascii="Verdana" w:eastAsia="Times New Roman" w:hAnsi="Verdana"/>
          <w:sz w:val="20"/>
          <w:szCs w:val="20"/>
          <w:shd w:val="clear" w:color="auto" w:fill="FFFFFF"/>
        </w:rPr>
      </w:pPr>
      <w:r w:rsidRPr="007D698A">
        <w:rPr>
          <w:rFonts w:ascii="Verdana" w:eastAsia="Times New Roman" w:hAnsi="Verdana"/>
          <w:sz w:val="20"/>
          <w:szCs w:val="20"/>
          <w:shd w:val="clear" w:color="auto" w:fill="FFFFFF"/>
        </w:rPr>
        <w:t>Frente a essas questões, a reforma trabalhista, aprovada em regime de urgência no Brasil, em 2017, modificou a Consolidação das Leis do Trabalho (CLT) e trouxe inúmeros prejuízos aos trabalhadores. Nesse caso, assim como ocorre na maioria das políticas de austeridade, sua proposição veio “disfarçada de interesse público” a partir da promessa de geração de empregos e crescimento econômico em benefício da população.</w:t>
      </w:r>
    </w:p>
    <w:p w14:paraId="10FD8FAE" w14:textId="77777777" w:rsidR="007D698A" w:rsidRPr="007D698A" w:rsidRDefault="007D698A" w:rsidP="007D698A">
      <w:pPr>
        <w:spacing w:after="0" w:line="240" w:lineRule="auto"/>
        <w:ind w:firstLine="709"/>
        <w:jc w:val="both"/>
        <w:rPr>
          <w:rFonts w:ascii="Verdana" w:eastAsia="Times New Roman" w:hAnsi="Verdana"/>
          <w:sz w:val="20"/>
          <w:szCs w:val="20"/>
          <w:shd w:val="clear" w:color="auto" w:fill="FFFFFF"/>
        </w:rPr>
      </w:pPr>
      <w:r w:rsidRPr="007D698A">
        <w:rPr>
          <w:rFonts w:ascii="Verdana" w:eastAsia="Times New Roman" w:hAnsi="Verdana"/>
          <w:sz w:val="20"/>
          <w:szCs w:val="20"/>
        </w:rPr>
        <w:t>Contudo, conforme esperado por especialistas e críticos da proposta, a promessa não se realizou. Contrariamente à expectativa do governo federal de que a reforma trabalhista gerasse empregos formais, a taxa de desemprego no Brasil alcançou 13,1% no terceiro trimestre de 2020. De acordo com dados do Instituto Brasileiro de Geografia e Estatística (IBGE), no total, o país somou 14,1 milhões de desempregados no final de outubro de 2020</w:t>
      </w:r>
      <w:r w:rsidRPr="007D698A">
        <w:rPr>
          <w:rFonts w:ascii="Verdana" w:eastAsia="Times New Roman" w:hAnsi="Verdana"/>
          <w:sz w:val="20"/>
          <w:szCs w:val="20"/>
          <w:vertAlign w:val="superscript"/>
        </w:rPr>
        <w:footnoteReference w:id="43"/>
      </w:r>
      <w:r w:rsidRPr="007D698A">
        <w:rPr>
          <w:rFonts w:ascii="Verdana" w:eastAsia="Times New Roman" w:hAnsi="Verdana"/>
          <w:sz w:val="20"/>
          <w:szCs w:val="20"/>
          <w:shd w:val="clear" w:color="auto" w:fill="FFFFFF"/>
        </w:rPr>
        <w:t>.</w:t>
      </w:r>
    </w:p>
    <w:p w14:paraId="6A7DC479" w14:textId="77777777" w:rsidR="007D698A" w:rsidRPr="007D698A" w:rsidRDefault="007D698A" w:rsidP="007D698A">
      <w:pPr>
        <w:spacing w:after="0" w:line="240" w:lineRule="auto"/>
        <w:ind w:firstLine="709"/>
        <w:jc w:val="both"/>
        <w:rPr>
          <w:rFonts w:ascii="Verdana" w:eastAsia="Times New Roman" w:hAnsi="Verdana"/>
          <w:sz w:val="20"/>
          <w:szCs w:val="20"/>
          <w:shd w:val="clear" w:color="auto" w:fill="FFFFFF"/>
        </w:rPr>
      </w:pPr>
      <w:r w:rsidRPr="007D698A">
        <w:rPr>
          <w:rFonts w:ascii="Verdana" w:eastAsia="Times New Roman" w:hAnsi="Verdana"/>
          <w:sz w:val="20"/>
          <w:szCs w:val="20"/>
          <w:shd w:val="clear" w:color="auto" w:fill="FFFFFF"/>
        </w:rPr>
        <w:t xml:space="preserve">Com efeito, a influência de entidades empresariais por meio de </w:t>
      </w:r>
      <w:r w:rsidRPr="007D698A">
        <w:rPr>
          <w:rFonts w:ascii="Verdana" w:eastAsia="Times New Roman" w:hAnsi="Verdana"/>
          <w:i/>
          <w:sz w:val="20"/>
          <w:szCs w:val="20"/>
          <w:shd w:val="clear" w:color="auto" w:fill="FFFFFF"/>
        </w:rPr>
        <w:t>lobby</w:t>
      </w:r>
      <w:r w:rsidRPr="007D698A">
        <w:rPr>
          <w:rFonts w:ascii="Verdana" w:eastAsia="Times New Roman" w:hAnsi="Verdana"/>
          <w:sz w:val="20"/>
          <w:szCs w:val="20"/>
          <w:shd w:val="clear" w:color="auto" w:fill="FFFFFF"/>
        </w:rPr>
        <w:t xml:space="preserve"> verificou-se especialmente quando o projeto da reforma trabalhista estava em apreciação pela Câmara dos Deputados e foram apresentadas 850 emendas à Comissão Especial da reforma. Nessa seara, indicou-se que a Confederação Nacional </w:t>
      </w:r>
      <w:r w:rsidRPr="007D698A">
        <w:rPr>
          <w:rFonts w:ascii="Verdana" w:eastAsia="Times New Roman" w:hAnsi="Verdana"/>
          <w:sz w:val="20"/>
          <w:szCs w:val="20"/>
          <w:shd w:val="clear" w:color="auto" w:fill="FFFFFF"/>
        </w:rPr>
        <w:lastRenderedPageBreak/>
        <w:t>do Transporte (CNT), a Associação Nacional do Transporte de Cargas e Logística, a Confederação Nacional das Instituições Financeiras (CNF) e a Confederação Nacional da Indústria (CNI) foram os atores econômicos por trás da redação das emendas propostas</w:t>
      </w:r>
      <w:r w:rsidRPr="007D698A">
        <w:rPr>
          <w:rFonts w:ascii="Verdana" w:eastAsia="Times New Roman" w:hAnsi="Verdana"/>
          <w:sz w:val="20"/>
          <w:szCs w:val="20"/>
          <w:shd w:val="clear" w:color="auto" w:fill="FFFFFF"/>
          <w:vertAlign w:val="superscript"/>
        </w:rPr>
        <w:footnoteReference w:id="44"/>
      </w:r>
      <w:r w:rsidRPr="007D698A">
        <w:rPr>
          <w:rFonts w:ascii="Verdana" w:eastAsia="Times New Roman" w:hAnsi="Verdana"/>
          <w:sz w:val="20"/>
          <w:szCs w:val="20"/>
          <w:shd w:val="clear" w:color="auto" w:fill="FFFFFF"/>
        </w:rPr>
        <w:t>.</w:t>
      </w:r>
    </w:p>
    <w:p w14:paraId="75E753FC" w14:textId="77777777" w:rsidR="007D698A" w:rsidRPr="007D698A" w:rsidRDefault="007D698A" w:rsidP="007D698A">
      <w:pPr>
        <w:spacing w:after="0" w:line="240" w:lineRule="auto"/>
        <w:ind w:firstLine="709"/>
        <w:jc w:val="both"/>
        <w:rPr>
          <w:rFonts w:ascii="Verdana" w:eastAsia="Times New Roman" w:hAnsi="Verdana"/>
          <w:sz w:val="20"/>
          <w:szCs w:val="20"/>
          <w:shd w:val="clear" w:color="auto" w:fill="FFFFFF"/>
        </w:rPr>
      </w:pPr>
      <w:r w:rsidRPr="007D698A">
        <w:rPr>
          <w:rFonts w:ascii="Verdana" w:eastAsia="Times New Roman" w:hAnsi="Verdana"/>
          <w:sz w:val="20"/>
          <w:szCs w:val="20"/>
          <w:shd w:val="clear" w:color="auto" w:fill="FFFFFF"/>
        </w:rPr>
        <w:t xml:space="preserve">Não por acaso, já que os deputados federais </w:t>
      </w:r>
      <w:proofErr w:type="spellStart"/>
      <w:r w:rsidRPr="007D698A">
        <w:rPr>
          <w:rFonts w:ascii="Verdana" w:eastAsia="Times New Roman" w:hAnsi="Verdana"/>
          <w:sz w:val="20"/>
          <w:szCs w:val="20"/>
          <w:shd w:val="clear" w:color="auto" w:fill="FFFFFF"/>
        </w:rPr>
        <w:t>Julio</w:t>
      </w:r>
      <w:proofErr w:type="spellEnd"/>
      <w:r w:rsidRPr="007D698A">
        <w:rPr>
          <w:rFonts w:ascii="Verdana" w:eastAsia="Times New Roman" w:hAnsi="Verdana"/>
          <w:sz w:val="20"/>
          <w:szCs w:val="20"/>
          <w:shd w:val="clear" w:color="auto" w:fill="FFFFFF"/>
        </w:rPr>
        <w:t xml:space="preserve"> Lopes (PP-RJ), Paes Landim (PTB-PI) e Ricardo Izar (PP-SP), que apresentaram sugestões da Confederação Nacional das Instituições Financeiras na comissão, receberam doações de pessoas físicas ligadas ao Itaú, ao Unibanco, ao Bradesco, ao Santander, à Safra, entre outras instituições financeiras. Vale lembrar que, inobstante o financiamento empresarial ter sido eliminado, pessoas físicas ligadas ao setor empresarial podem doar durante as campanhas eleitorais</w:t>
      </w:r>
      <w:r w:rsidRPr="007D698A">
        <w:rPr>
          <w:rFonts w:ascii="Verdana" w:eastAsia="Times New Roman" w:hAnsi="Verdana"/>
          <w:sz w:val="20"/>
          <w:szCs w:val="20"/>
          <w:shd w:val="clear" w:color="auto" w:fill="FFFFFF"/>
          <w:vertAlign w:val="superscript"/>
        </w:rPr>
        <w:footnoteReference w:id="45"/>
      </w:r>
      <w:r w:rsidRPr="007D698A">
        <w:rPr>
          <w:rFonts w:ascii="Verdana" w:eastAsia="Times New Roman" w:hAnsi="Verdana"/>
          <w:sz w:val="20"/>
          <w:szCs w:val="20"/>
          <w:shd w:val="clear" w:color="auto" w:fill="FFFFFF"/>
        </w:rPr>
        <w:t xml:space="preserve">. Resta claro que a prática das corporações de influenciar nas políticas dos Estados, mesmo que não esteja regulamentada no Brasil, não é outra senão </w:t>
      </w:r>
      <w:r w:rsidRPr="007D698A">
        <w:rPr>
          <w:rFonts w:ascii="Verdana" w:eastAsia="Times New Roman" w:hAnsi="Verdana"/>
          <w:i/>
          <w:sz w:val="20"/>
          <w:szCs w:val="20"/>
          <w:shd w:val="clear" w:color="auto" w:fill="FFFFFF"/>
        </w:rPr>
        <w:t>lobby</w:t>
      </w:r>
      <w:r w:rsidRPr="007D698A">
        <w:rPr>
          <w:rFonts w:ascii="Verdana" w:eastAsia="Times New Roman" w:hAnsi="Verdana"/>
          <w:sz w:val="20"/>
          <w:szCs w:val="20"/>
          <w:shd w:val="clear" w:color="auto" w:fill="FFFFFF"/>
        </w:rPr>
        <w:t>.</w:t>
      </w:r>
    </w:p>
    <w:p w14:paraId="468DD851" w14:textId="77777777" w:rsidR="007D698A" w:rsidRPr="007D698A" w:rsidRDefault="007D698A" w:rsidP="007D698A">
      <w:pPr>
        <w:spacing w:after="0" w:line="240" w:lineRule="auto"/>
        <w:ind w:firstLine="709"/>
        <w:jc w:val="both"/>
        <w:rPr>
          <w:rFonts w:ascii="Verdana" w:eastAsia="Times New Roman" w:hAnsi="Verdana"/>
          <w:sz w:val="20"/>
          <w:szCs w:val="20"/>
          <w:shd w:val="clear" w:color="auto" w:fill="FFFFFF"/>
        </w:rPr>
      </w:pPr>
      <w:r w:rsidRPr="007D698A">
        <w:rPr>
          <w:rFonts w:ascii="Verdana" w:eastAsia="Times New Roman" w:hAnsi="Verdana"/>
          <w:sz w:val="20"/>
          <w:szCs w:val="20"/>
          <w:shd w:val="clear" w:color="auto" w:fill="FFFFFF"/>
        </w:rPr>
        <w:t>Nessa mesma linha de raciocínio, analisando-se uma das mais recentes políticas de austeridade do Brasil aprovada em 2019, a reforma da previdência constitui outro ataque aos direitos sociais no país. Em rápida análise das prestações de contas da campanha eleitoral do ano de 2018 e dos votos do projeto da reforma na Câmara dos Deputados, pode-se fazer uma construção muito relevante em relação à possível influência de poderes econômicos na aprovação da proposta de emenda constitucional</w:t>
      </w:r>
      <w:r w:rsidRPr="007D698A">
        <w:rPr>
          <w:rFonts w:ascii="Verdana" w:eastAsia="Times New Roman" w:hAnsi="Verdana"/>
          <w:sz w:val="20"/>
          <w:szCs w:val="20"/>
          <w:shd w:val="clear" w:color="auto" w:fill="FFFFFF"/>
          <w:vertAlign w:val="superscript"/>
        </w:rPr>
        <w:footnoteReference w:id="46"/>
      </w:r>
      <w:r w:rsidRPr="007D698A">
        <w:rPr>
          <w:rFonts w:ascii="Verdana" w:eastAsia="Times New Roman" w:hAnsi="Verdana"/>
          <w:sz w:val="20"/>
          <w:szCs w:val="20"/>
          <w:shd w:val="clear" w:color="auto" w:fill="FFFFFF"/>
        </w:rPr>
        <w:t>.</w:t>
      </w:r>
    </w:p>
    <w:p w14:paraId="4AB07950" w14:textId="77777777" w:rsidR="007D698A" w:rsidRPr="007D698A" w:rsidRDefault="007D698A" w:rsidP="007D698A">
      <w:pPr>
        <w:spacing w:after="0" w:line="240" w:lineRule="auto"/>
        <w:ind w:firstLine="709"/>
        <w:jc w:val="both"/>
        <w:rPr>
          <w:rFonts w:ascii="Verdana" w:eastAsia="Times New Roman" w:hAnsi="Verdana"/>
          <w:sz w:val="20"/>
          <w:szCs w:val="20"/>
          <w:shd w:val="clear" w:color="auto" w:fill="FFFFFF"/>
        </w:rPr>
      </w:pPr>
      <w:r w:rsidRPr="007D698A">
        <w:rPr>
          <w:rFonts w:ascii="Verdana" w:eastAsia="Times New Roman" w:hAnsi="Verdana"/>
          <w:sz w:val="20"/>
          <w:szCs w:val="20"/>
          <w:shd w:val="clear" w:color="auto" w:fill="FFFFFF"/>
        </w:rPr>
        <w:t xml:space="preserve">Precisamente parte-se da análise do </w:t>
      </w:r>
      <w:r w:rsidRPr="007D698A">
        <w:rPr>
          <w:rFonts w:ascii="Verdana" w:eastAsia="Times New Roman" w:hAnsi="Verdana"/>
          <w:i/>
          <w:sz w:val="20"/>
          <w:szCs w:val="20"/>
          <w:shd w:val="clear" w:color="auto" w:fill="FFFFFF"/>
        </w:rPr>
        <w:t xml:space="preserve">ranking </w:t>
      </w:r>
      <w:r w:rsidRPr="007D698A">
        <w:rPr>
          <w:rFonts w:ascii="Verdana" w:eastAsia="Times New Roman" w:hAnsi="Verdana"/>
          <w:sz w:val="20"/>
          <w:szCs w:val="20"/>
          <w:shd w:val="clear" w:color="auto" w:fill="FFFFFF"/>
        </w:rPr>
        <w:t xml:space="preserve">de doadores apresentado pelo Tribunal Superior Eleitoral, no qual Rubens </w:t>
      </w:r>
      <w:proofErr w:type="spellStart"/>
      <w:r w:rsidRPr="007D698A">
        <w:rPr>
          <w:rFonts w:ascii="Verdana" w:eastAsia="Times New Roman" w:hAnsi="Verdana"/>
          <w:sz w:val="20"/>
          <w:szCs w:val="20"/>
          <w:shd w:val="clear" w:color="auto" w:fill="FFFFFF"/>
        </w:rPr>
        <w:t>Ometto</w:t>
      </w:r>
      <w:proofErr w:type="spellEnd"/>
      <w:r w:rsidRPr="007D698A">
        <w:rPr>
          <w:rFonts w:ascii="Verdana" w:eastAsia="Times New Roman" w:hAnsi="Verdana"/>
          <w:sz w:val="20"/>
          <w:szCs w:val="20"/>
          <w:shd w:val="clear" w:color="auto" w:fill="FFFFFF"/>
        </w:rPr>
        <w:t xml:space="preserve"> Silveira Mello, empresário brasileiro, presidente do conselho de administração da </w:t>
      </w:r>
      <w:proofErr w:type="spellStart"/>
      <w:r w:rsidRPr="007D698A">
        <w:rPr>
          <w:rFonts w:ascii="Verdana" w:eastAsia="Times New Roman" w:hAnsi="Verdana"/>
          <w:sz w:val="20"/>
          <w:szCs w:val="20"/>
          <w:shd w:val="clear" w:color="auto" w:fill="FFFFFF"/>
        </w:rPr>
        <w:t>Cosan</w:t>
      </w:r>
      <w:proofErr w:type="spellEnd"/>
      <w:r w:rsidRPr="007D698A">
        <w:rPr>
          <w:rFonts w:ascii="Verdana" w:eastAsia="Times New Roman" w:hAnsi="Verdana"/>
          <w:sz w:val="20"/>
          <w:szCs w:val="20"/>
          <w:shd w:val="clear" w:color="auto" w:fill="FFFFFF"/>
        </w:rPr>
        <w:t xml:space="preserve"> (uma das maiores corporações empresariais do Brasil), aparece em primeiro lugar, por declarar o total de R$7.500.000,00 em doações durante a campanha eleitoral de 2018. De fato, dos onze deputados federais eleitos que receberam doações durante a campanha, sete votaram “sim”, enquanto apenas quatro “não”</w:t>
      </w:r>
      <w:r w:rsidRPr="007D698A">
        <w:rPr>
          <w:rFonts w:ascii="Verdana" w:eastAsia="Times New Roman" w:hAnsi="Verdana"/>
          <w:sz w:val="20"/>
          <w:szCs w:val="20"/>
          <w:shd w:val="clear" w:color="auto" w:fill="FFFFFF"/>
          <w:vertAlign w:val="superscript"/>
        </w:rPr>
        <w:footnoteReference w:id="47"/>
      </w:r>
      <w:r w:rsidRPr="007D698A">
        <w:rPr>
          <w:rFonts w:ascii="Verdana" w:eastAsia="Times New Roman" w:hAnsi="Verdana"/>
          <w:sz w:val="20"/>
          <w:szCs w:val="20"/>
          <w:shd w:val="clear" w:color="auto" w:fill="FFFFFF"/>
        </w:rPr>
        <w:t>.</w:t>
      </w:r>
    </w:p>
    <w:p w14:paraId="6F2ABC64" w14:textId="77777777" w:rsidR="007D698A" w:rsidRPr="007D698A" w:rsidRDefault="007D698A" w:rsidP="007D698A">
      <w:pPr>
        <w:spacing w:after="0" w:line="240" w:lineRule="auto"/>
        <w:ind w:firstLine="709"/>
        <w:jc w:val="both"/>
        <w:rPr>
          <w:rFonts w:ascii="Verdana" w:eastAsia="Times New Roman" w:hAnsi="Verdana"/>
          <w:sz w:val="20"/>
          <w:szCs w:val="20"/>
          <w:shd w:val="clear" w:color="auto" w:fill="FFFFFF"/>
        </w:rPr>
      </w:pPr>
      <w:r w:rsidRPr="007D698A">
        <w:rPr>
          <w:rFonts w:ascii="Verdana" w:eastAsia="Times New Roman" w:hAnsi="Verdana"/>
          <w:sz w:val="20"/>
          <w:szCs w:val="20"/>
          <w:shd w:val="clear" w:color="auto" w:fill="FFFFFF"/>
        </w:rPr>
        <w:t xml:space="preserve">Por outro lado, realizou-se a análise do mesmo </w:t>
      </w:r>
      <w:r w:rsidRPr="007D698A">
        <w:rPr>
          <w:rFonts w:ascii="Verdana" w:eastAsia="Times New Roman" w:hAnsi="Verdana"/>
          <w:i/>
          <w:sz w:val="20"/>
          <w:szCs w:val="20"/>
          <w:shd w:val="clear" w:color="auto" w:fill="FFFFFF"/>
        </w:rPr>
        <w:t>ranking,</w:t>
      </w:r>
      <w:r w:rsidRPr="007D698A">
        <w:rPr>
          <w:rFonts w:ascii="Verdana" w:eastAsia="Times New Roman" w:hAnsi="Verdana"/>
          <w:sz w:val="20"/>
          <w:szCs w:val="20"/>
          <w:shd w:val="clear" w:color="auto" w:fill="FFFFFF"/>
        </w:rPr>
        <w:t xml:space="preserve"> no qual José Salim Mattar Junior, dono da Localiza Hertz (maior empresa de aluguel de carros da América Latina), aparece como o quarto maior doador, declarando o total de R$ 2.920.000,00 em doações. Nesse caso, oito deputados federais eleitos receberam doações do empresário durante a campanha, sendo que todos votaram “sim” para a aprovação do projeto de reforma da previdência</w:t>
      </w:r>
      <w:r w:rsidRPr="007D698A">
        <w:rPr>
          <w:rFonts w:ascii="Verdana" w:eastAsia="Times New Roman" w:hAnsi="Verdana"/>
          <w:sz w:val="20"/>
          <w:szCs w:val="20"/>
          <w:shd w:val="clear" w:color="auto" w:fill="FFFFFF"/>
          <w:vertAlign w:val="superscript"/>
        </w:rPr>
        <w:footnoteReference w:id="48"/>
      </w:r>
      <w:r w:rsidRPr="007D698A">
        <w:rPr>
          <w:rFonts w:ascii="Verdana" w:eastAsia="Times New Roman" w:hAnsi="Verdana"/>
          <w:sz w:val="20"/>
          <w:szCs w:val="20"/>
          <w:shd w:val="clear" w:color="auto" w:fill="FFFFFF"/>
        </w:rPr>
        <w:t>.</w:t>
      </w:r>
    </w:p>
    <w:p w14:paraId="558A295C" w14:textId="77777777" w:rsidR="007D698A" w:rsidRPr="007D698A" w:rsidRDefault="007D698A" w:rsidP="007D698A">
      <w:pPr>
        <w:spacing w:after="0" w:line="240" w:lineRule="auto"/>
        <w:ind w:firstLine="709"/>
        <w:jc w:val="both"/>
        <w:rPr>
          <w:rFonts w:ascii="Verdana" w:eastAsia="Times New Roman" w:hAnsi="Verdana"/>
          <w:sz w:val="20"/>
          <w:szCs w:val="20"/>
        </w:rPr>
      </w:pPr>
      <w:r w:rsidRPr="007D698A">
        <w:rPr>
          <w:rFonts w:ascii="Verdana" w:eastAsia="Times New Roman" w:hAnsi="Verdana"/>
          <w:sz w:val="20"/>
          <w:szCs w:val="20"/>
        </w:rPr>
        <w:lastRenderedPageBreak/>
        <w:t>Ocorre que, a captura dos processos decisórios pelos atores econômicos é uma prática generalizada. Dessa forma, os governos passam por dificuldades no enfrentamento dessas resistências poderosas e articuladas de manipulação do poder. Opera-se, assim, uma lógica em que o emprego, o desenvolvimento sustentável, o desenvolvimento humano e o bem-estar das pessoas desaparecem constantemente da pauta das políticas governamentais.</w:t>
      </w:r>
    </w:p>
    <w:p w14:paraId="306190F4" w14:textId="77777777" w:rsidR="007D698A" w:rsidRPr="007D698A" w:rsidRDefault="007D698A" w:rsidP="007D698A">
      <w:pPr>
        <w:spacing w:after="0" w:line="240" w:lineRule="auto"/>
        <w:ind w:firstLine="709"/>
        <w:jc w:val="both"/>
        <w:rPr>
          <w:rFonts w:ascii="Verdana" w:eastAsia="Times New Roman" w:hAnsi="Verdana"/>
          <w:sz w:val="20"/>
          <w:szCs w:val="20"/>
          <w:shd w:val="clear" w:color="auto" w:fill="FFFFFF"/>
        </w:rPr>
      </w:pPr>
      <w:r w:rsidRPr="007D698A">
        <w:rPr>
          <w:rFonts w:ascii="Verdana" w:eastAsia="Times New Roman" w:hAnsi="Verdana"/>
          <w:sz w:val="20"/>
          <w:szCs w:val="20"/>
          <w:shd w:val="clear" w:color="auto" w:fill="FFFFFF"/>
        </w:rPr>
        <w:t xml:space="preserve">Paralelamente a isso, a interferência de atores privados opera, em grande medida, sem controle do Estado e solapando os direitos sociais da população </w:t>
      </w:r>
      <w:proofErr w:type="spellStart"/>
      <w:r w:rsidRPr="007D698A">
        <w:rPr>
          <w:rFonts w:ascii="Verdana" w:eastAsia="Times New Roman" w:hAnsi="Verdana"/>
          <w:sz w:val="20"/>
          <w:szCs w:val="20"/>
          <w:shd w:val="clear" w:color="auto" w:fill="FFFFFF"/>
        </w:rPr>
        <w:t>vulnerabilizada</w:t>
      </w:r>
      <w:proofErr w:type="spellEnd"/>
      <w:r w:rsidRPr="007D698A">
        <w:rPr>
          <w:rFonts w:ascii="Verdana" w:eastAsia="Times New Roman" w:hAnsi="Verdana"/>
          <w:sz w:val="20"/>
          <w:szCs w:val="20"/>
          <w:shd w:val="clear" w:color="auto" w:fill="FFFFFF"/>
        </w:rPr>
        <w:t xml:space="preserve"> pela condição econômica. Como ilustração, aborda-se um estudo organizado pelo Comitê Popular da Copa e pela ONG Cidade em Porto Alegre que observou, durante quatro anos, os impactos sociais ocorridos na capital gaúcha durante as obras e o evento da Copa do Mundo de 2014. No estudo em questão, foi apontado que mais de seis mil famílias tiveram seu direito à moradia adequada violado por conta dos projetos e obras urbanas executadas pela Federação Internacional de Futebol Associado (FIFA), organização estritamente privada que opera sem pontos de dependência estatais</w:t>
      </w:r>
      <w:r w:rsidRPr="007D698A">
        <w:rPr>
          <w:rFonts w:ascii="Verdana" w:eastAsia="Times New Roman" w:hAnsi="Verdana"/>
          <w:sz w:val="20"/>
          <w:szCs w:val="20"/>
          <w:shd w:val="clear" w:color="auto" w:fill="FFFFFF"/>
          <w:vertAlign w:val="superscript"/>
        </w:rPr>
        <w:footnoteReference w:id="49"/>
      </w:r>
      <w:r w:rsidRPr="007D698A">
        <w:rPr>
          <w:rFonts w:ascii="Verdana" w:eastAsia="Times New Roman" w:hAnsi="Verdana"/>
          <w:sz w:val="20"/>
          <w:szCs w:val="20"/>
          <w:shd w:val="clear" w:color="auto" w:fill="FFFFFF"/>
        </w:rPr>
        <w:t>.</w:t>
      </w:r>
    </w:p>
    <w:p w14:paraId="2A02B503" w14:textId="77777777" w:rsidR="007D698A" w:rsidRPr="007D698A" w:rsidRDefault="007D698A" w:rsidP="007D698A">
      <w:pPr>
        <w:spacing w:after="0" w:line="240" w:lineRule="auto"/>
        <w:ind w:firstLine="709"/>
        <w:jc w:val="both"/>
        <w:rPr>
          <w:rFonts w:ascii="Verdana" w:eastAsia="Times New Roman" w:hAnsi="Verdana"/>
          <w:sz w:val="20"/>
          <w:szCs w:val="20"/>
        </w:rPr>
      </w:pPr>
      <w:r w:rsidRPr="007D698A">
        <w:rPr>
          <w:rFonts w:ascii="Verdana" w:eastAsia="Times New Roman" w:hAnsi="Verdana"/>
          <w:sz w:val="20"/>
          <w:szCs w:val="20"/>
          <w:shd w:val="clear" w:color="auto" w:fill="FFFFFF"/>
        </w:rPr>
        <w:t xml:space="preserve">Neste sentido, a obra de duplicação da Avenida Tronco, além de não ter ficado pronta para o Mundial de 2014, removeu mais de 1.500 famílias que viviam há décadas na região, por onde passaria a avenida duplicada. Se isso não bastasse, como a obra era considerada prioritária para ligar a Zona Sul e o Centro da Cidade, logo no início de 2012 foi primado pelo </w:t>
      </w:r>
      <w:r w:rsidRPr="007D698A">
        <w:rPr>
          <w:rFonts w:ascii="Verdana" w:eastAsia="Times New Roman" w:hAnsi="Verdana"/>
          <w:sz w:val="20"/>
          <w:szCs w:val="20"/>
        </w:rPr>
        <w:t>projeto viário em detrimento do plano de reassentamento, dando-se início à remoção, concedendo valores insuficientes para as famílias removidas</w:t>
      </w:r>
      <w:r w:rsidRPr="007D698A">
        <w:rPr>
          <w:rFonts w:ascii="Verdana" w:eastAsia="Times New Roman" w:hAnsi="Verdana"/>
          <w:sz w:val="20"/>
          <w:szCs w:val="20"/>
          <w:vertAlign w:val="superscript"/>
        </w:rPr>
        <w:footnoteReference w:id="50"/>
      </w:r>
      <w:r w:rsidRPr="007D698A">
        <w:rPr>
          <w:rFonts w:ascii="Verdana" w:eastAsia="Times New Roman" w:hAnsi="Verdana"/>
          <w:sz w:val="20"/>
          <w:szCs w:val="20"/>
        </w:rPr>
        <w:t>. Esse é apenas um exemplo de inúmeros outros casos de violação ocorridos, como a remoção de moradores de ruas, o desmantelamento de comunidades inteiras, os impactos ambientais, dentre outros.</w:t>
      </w:r>
    </w:p>
    <w:p w14:paraId="44E6FBCC" w14:textId="77777777" w:rsidR="007D698A" w:rsidRPr="007D698A" w:rsidRDefault="007D698A" w:rsidP="007D698A">
      <w:pPr>
        <w:spacing w:after="0" w:line="240" w:lineRule="auto"/>
        <w:ind w:firstLine="709"/>
        <w:jc w:val="both"/>
        <w:rPr>
          <w:rFonts w:ascii="Verdana" w:eastAsia="Times New Roman" w:hAnsi="Verdana"/>
          <w:sz w:val="20"/>
          <w:szCs w:val="20"/>
        </w:rPr>
      </w:pPr>
      <w:r w:rsidRPr="007D698A">
        <w:rPr>
          <w:rFonts w:ascii="Verdana" w:eastAsia="Times New Roman" w:hAnsi="Verdana"/>
          <w:sz w:val="20"/>
          <w:szCs w:val="20"/>
        </w:rPr>
        <w:t xml:space="preserve">Retomando a questão do protagonismo dos atores econômicos, um relevante ponto de destaque diz respeito ao estudo da categoria denominada plutocracia. Conforme leciona </w:t>
      </w:r>
      <w:proofErr w:type="spellStart"/>
      <w:r w:rsidRPr="007D698A">
        <w:rPr>
          <w:rFonts w:ascii="Verdana" w:eastAsia="Times New Roman" w:hAnsi="Verdana"/>
          <w:sz w:val="20"/>
          <w:szCs w:val="20"/>
        </w:rPr>
        <w:t>Milanovic</w:t>
      </w:r>
      <w:proofErr w:type="spellEnd"/>
      <w:r w:rsidRPr="007D698A">
        <w:rPr>
          <w:rFonts w:ascii="Verdana" w:eastAsia="Times New Roman" w:hAnsi="Verdana"/>
          <w:sz w:val="20"/>
          <w:szCs w:val="20"/>
        </w:rPr>
        <w:t>, à categoria dos plutocratas mundiais pertencem pessoas que são mundialmente muito ricas</w:t>
      </w:r>
      <w:r w:rsidRPr="007D698A">
        <w:rPr>
          <w:rFonts w:ascii="Verdana" w:eastAsia="Times New Roman" w:hAnsi="Verdana"/>
          <w:sz w:val="20"/>
          <w:szCs w:val="20"/>
          <w:vertAlign w:val="superscript"/>
        </w:rPr>
        <w:footnoteReference w:id="51"/>
      </w:r>
      <w:r w:rsidRPr="007D698A">
        <w:rPr>
          <w:rFonts w:ascii="Verdana" w:eastAsia="Times New Roman" w:hAnsi="Verdana"/>
          <w:sz w:val="20"/>
          <w:szCs w:val="20"/>
        </w:rPr>
        <w:t>. Em outras palavras, pode-se dizer que essa categoria corresponde aqueles que pertencem ao 1 por cento do topo em âmbito mundial</w:t>
      </w:r>
      <w:r w:rsidRPr="007D698A">
        <w:rPr>
          <w:rFonts w:ascii="Verdana" w:eastAsia="Times New Roman" w:hAnsi="Verdana"/>
          <w:sz w:val="20"/>
          <w:szCs w:val="20"/>
          <w:vertAlign w:val="superscript"/>
        </w:rPr>
        <w:footnoteReference w:id="52"/>
      </w:r>
      <w:r w:rsidRPr="007D698A">
        <w:rPr>
          <w:rFonts w:ascii="Verdana" w:eastAsia="Times New Roman" w:hAnsi="Verdana"/>
          <w:sz w:val="20"/>
          <w:szCs w:val="20"/>
        </w:rPr>
        <w:t>.</w:t>
      </w:r>
    </w:p>
    <w:p w14:paraId="6C56946D" w14:textId="77777777" w:rsidR="007D698A" w:rsidRPr="007D698A" w:rsidRDefault="007D698A" w:rsidP="007D698A">
      <w:pPr>
        <w:spacing w:after="0" w:line="240" w:lineRule="auto"/>
        <w:ind w:firstLine="709"/>
        <w:jc w:val="both"/>
        <w:rPr>
          <w:rFonts w:ascii="Verdana" w:eastAsia="Times New Roman" w:hAnsi="Verdana"/>
          <w:sz w:val="20"/>
          <w:szCs w:val="20"/>
        </w:rPr>
      </w:pPr>
      <w:r w:rsidRPr="007D698A">
        <w:rPr>
          <w:rFonts w:ascii="Verdana" w:eastAsia="Times New Roman" w:hAnsi="Verdana"/>
          <w:sz w:val="20"/>
          <w:szCs w:val="20"/>
        </w:rPr>
        <w:t xml:space="preserve">Em geral, nessa categoria se encontram indivíduos ou pequenos grupos de financistas que manipulam os espaços econômicos e corrompem os políticos segundo seus interesses, graças ao seu patrimônio e sua influência de poder. A postura econômica dos plutocratas é normalmente vista como uma forma violenta das finanças exercida sobre as sociedades, por meio do monitoramento dos mercados </w:t>
      </w:r>
      <w:r w:rsidRPr="007D698A">
        <w:rPr>
          <w:rFonts w:ascii="Verdana" w:eastAsia="Times New Roman" w:hAnsi="Verdana"/>
          <w:sz w:val="20"/>
          <w:szCs w:val="20"/>
        </w:rPr>
        <w:lastRenderedPageBreak/>
        <w:t>financeiros contra os países que ousam adotar políticas econômicas que não estejam de acordo com suas imposições</w:t>
      </w:r>
      <w:r w:rsidRPr="007D698A">
        <w:rPr>
          <w:rFonts w:ascii="Verdana" w:eastAsia="Times New Roman" w:hAnsi="Verdana"/>
          <w:sz w:val="20"/>
          <w:szCs w:val="20"/>
          <w:vertAlign w:val="superscript"/>
        </w:rPr>
        <w:footnoteReference w:id="53"/>
      </w:r>
      <w:r w:rsidRPr="007D698A">
        <w:rPr>
          <w:rFonts w:ascii="Verdana" w:eastAsia="Times New Roman" w:hAnsi="Verdana"/>
          <w:sz w:val="20"/>
          <w:szCs w:val="20"/>
        </w:rPr>
        <w:t>.</w:t>
      </w:r>
    </w:p>
    <w:p w14:paraId="50891933" w14:textId="77777777" w:rsidR="007D698A" w:rsidRPr="007D698A" w:rsidRDefault="007D698A" w:rsidP="007D698A">
      <w:pPr>
        <w:spacing w:after="0" w:line="240" w:lineRule="auto"/>
        <w:ind w:firstLine="709"/>
        <w:jc w:val="both"/>
        <w:rPr>
          <w:rFonts w:ascii="Verdana" w:eastAsia="Times New Roman" w:hAnsi="Verdana"/>
          <w:sz w:val="20"/>
          <w:szCs w:val="20"/>
        </w:rPr>
      </w:pPr>
      <w:r w:rsidRPr="007D698A">
        <w:rPr>
          <w:rFonts w:ascii="Verdana" w:eastAsia="Times New Roman" w:hAnsi="Verdana"/>
          <w:sz w:val="20"/>
          <w:szCs w:val="20"/>
        </w:rPr>
        <w:t>Importa salientar que o relevo do campo financeiro no Brasil revela-se cada vez mais complexo, na medida em que as diversas posturas de legitimação de atores da economia influenciam constantemente o espaço social como um todo. A título exemplificativo, o conjunto dos grandes bancos comerciais, à primeira vista, aplica políticas de sustentabilidade e responsabilidade social, criando a imagem de atores legítimos da ordem social brasileira, quando, na verdade, cobram juros estratosféricos de seus clientes</w:t>
      </w:r>
      <w:r w:rsidRPr="007D698A">
        <w:rPr>
          <w:rFonts w:ascii="Verdana" w:eastAsia="Times New Roman" w:hAnsi="Verdana"/>
          <w:sz w:val="20"/>
          <w:szCs w:val="20"/>
          <w:vertAlign w:val="superscript"/>
        </w:rPr>
        <w:footnoteReference w:id="54"/>
      </w:r>
      <w:r w:rsidRPr="007D698A">
        <w:rPr>
          <w:rFonts w:ascii="Verdana" w:eastAsia="Times New Roman" w:hAnsi="Verdana"/>
          <w:sz w:val="20"/>
          <w:szCs w:val="20"/>
        </w:rPr>
        <w:t>.</w:t>
      </w:r>
    </w:p>
    <w:p w14:paraId="3698A041" w14:textId="77777777" w:rsidR="007D698A" w:rsidRPr="007D698A" w:rsidRDefault="007D698A" w:rsidP="007D698A">
      <w:pPr>
        <w:spacing w:after="0" w:line="240" w:lineRule="auto"/>
        <w:ind w:firstLine="709"/>
        <w:jc w:val="both"/>
        <w:rPr>
          <w:rFonts w:ascii="Verdana" w:eastAsia="Times New Roman" w:hAnsi="Verdana"/>
          <w:sz w:val="20"/>
          <w:szCs w:val="20"/>
          <w:shd w:val="clear" w:color="auto" w:fill="FFFFFF"/>
        </w:rPr>
      </w:pPr>
      <w:r w:rsidRPr="007D698A">
        <w:rPr>
          <w:rFonts w:ascii="Verdana" w:eastAsia="Times New Roman" w:hAnsi="Verdana"/>
          <w:sz w:val="20"/>
          <w:szCs w:val="20"/>
          <w:shd w:val="clear" w:color="auto" w:fill="FFFFFF"/>
        </w:rPr>
        <w:t>Na era da globalização, a potência da ideologia liberal culminou no desenvolvimento de um mercado sem regras que influencia diretamente as políticas sociais dos países agravando, ainda mais, a crise do Estado. Nessa linha, cortes no investimento público de saúde e educação, privatizações, desregulações, liberalizações, seguem acompanhados de crescimentos das desigualdades, menores investimentos, políticas de austeridade e dão seguimento “a uma espiral recessiva incontrolada que corre risco de determinar o colapso de toda a economia global”</w:t>
      </w:r>
      <w:r w:rsidRPr="007D698A">
        <w:rPr>
          <w:rFonts w:ascii="Verdana" w:eastAsia="Times New Roman" w:hAnsi="Verdana"/>
          <w:sz w:val="20"/>
          <w:szCs w:val="20"/>
          <w:shd w:val="clear" w:color="auto" w:fill="FFFFFF"/>
          <w:vertAlign w:val="superscript"/>
        </w:rPr>
        <w:footnoteReference w:id="55"/>
      </w:r>
      <w:r w:rsidRPr="007D698A">
        <w:rPr>
          <w:rFonts w:ascii="Verdana" w:eastAsia="Times New Roman" w:hAnsi="Verdana"/>
          <w:sz w:val="20"/>
          <w:szCs w:val="20"/>
          <w:shd w:val="clear" w:color="auto" w:fill="FFFFFF"/>
        </w:rPr>
        <w:t>.</w:t>
      </w:r>
    </w:p>
    <w:p w14:paraId="1848B894" w14:textId="77777777" w:rsidR="007D698A" w:rsidRPr="007D698A" w:rsidRDefault="007D698A" w:rsidP="007D698A">
      <w:pPr>
        <w:spacing w:after="0" w:line="240" w:lineRule="auto"/>
        <w:ind w:firstLine="709"/>
        <w:jc w:val="both"/>
        <w:rPr>
          <w:rFonts w:ascii="Verdana" w:eastAsia="Times New Roman" w:hAnsi="Verdana"/>
          <w:sz w:val="20"/>
          <w:szCs w:val="20"/>
        </w:rPr>
      </w:pPr>
      <w:r w:rsidRPr="007D698A">
        <w:rPr>
          <w:rFonts w:ascii="Verdana" w:eastAsia="Times New Roman" w:hAnsi="Verdana"/>
          <w:sz w:val="20"/>
          <w:szCs w:val="20"/>
          <w:shd w:val="clear" w:color="auto" w:fill="FFFFFF"/>
        </w:rPr>
        <w:t xml:space="preserve">Nesse sentido, a influência dos atores econômicos, bem como a ascensão de uma categoria de plutocracia, manipulando o poder político numa lógica de dominação social, produzem uma assimetria de poder tamanha que, às custas de manobras, expolia o público e coloca em risco o próprio funcionamento das instituições democráticas. Ao transitar entre a globalização, a crise do Estado e o protagonismo dos atores econômicos privados, verifica-se que pode estar-se diante de um quadro que afeta as instituições democráticas, de modo que o próximo tópico trabalho irá abordar categorias como oligarquia e </w:t>
      </w:r>
      <w:proofErr w:type="spellStart"/>
      <w:r w:rsidRPr="007D698A">
        <w:rPr>
          <w:rFonts w:ascii="Verdana" w:eastAsia="Times New Roman" w:hAnsi="Verdana"/>
          <w:sz w:val="20"/>
          <w:szCs w:val="20"/>
          <w:shd w:val="clear" w:color="auto" w:fill="FFFFFF"/>
        </w:rPr>
        <w:t>poliarquia</w:t>
      </w:r>
      <w:proofErr w:type="spellEnd"/>
      <w:r w:rsidRPr="007D698A">
        <w:rPr>
          <w:rFonts w:ascii="Verdana" w:eastAsia="Times New Roman" w:hAnsi="Verdana"/>
          <w:sz w:val="20"/>
          <w:szCs w:val="20"/>
          <w:shd w:val="clear" w:color="auto" w:fill="FFFFFF"/>
        </w:rPr>
        <w:t xml:space="preserve">, </w:t>
      </w:r>
      <w:r w:rsidRPr="007D698A">
        <w:rPr>
          <w:rFonts w:ascii="Verdana" w:eastAsia="Times New Roman" w:hAnsi="Verdana"/>
          <w:sz w:val="20"/>
          <w:szCs w:val="20"/>
        </w:rPr>
        <w:t>na tentativa de ampliar as possibilidades de compreensão dessas novas dinâmicas que envolvem o exercício do poder político.</w:t>
      </w:r>
    </w:p>
    <w:p w14:paraId="38DDCCE0" w14:textId="77777777" w:rsidR="007D698A" w:rsidRPr="007D698A" w:rsidRDefault="007D698A" w:rsidP="007D698A">
      <w:pPr>
        <w:spacing w:after="0" w:line="240" w:lineRule="auto"/>
        <w:ind w:firstLine="709"/>
        <w:jc w:val="both"/>
        <w:rPr>
          <w:rFonts w:ascii="Verdana" w:eastAsia="Times New Roman" w:hAnsi="Verdana"/>
          <w:sz w:val="20"/>
          <w:szCs w:val="20"/>
          <w:shd w:val="clear" w:color="auto" w:fill="FFFFFF"/>
        </w:rPr>
      </w:pPr>
    </w:p>
    <w:p w14:paraId="30096F50" w14:textId="77777777" w:rsidR="007D698A" w:rsidRPr="007D698A" w:rsidRDefault="007D698A" w:rsidP="007D698A">
      <w:pPr>
        <w:spacing w:after="0" w:line="240" w:lineRule="auto"/>
        <w:jc w:val="both"/>
        <w:rPr>
          <w:rFonts w:ascii="Verdana" w:eastAsia="Times New Roman" w:hAnsi="Verdana"/>
          <w:b/>
          <w:sz w:val="20"/>
          <w:szCs w:val="20"/>
        </w:rPr>
      </w:pPr>
      <w:bookmarkStart w:id="3" w:name="_Hlk58509835"/>
      <w:r w:rsidRPr="007D698A">
        <w:rPr>
          <w:rFonts w:ascii="Verdana" w:eastAsia="Times New Roman" w:hAnsi="Verdana"/>
          <w:b/>
          <w:sz w:val="20"/>
          <w:szCs w:val="20"/>
        </w:rPr>
        <w:t>4 O (</w:t>
      </w:r>
      <w:proofErr w:type="spellStart"/>
      <w:proofErr w:type="gramStart"/>
      <w:r w:rsidRPr="007D698A">
        <w:rPr>
          <w:rFonts w:ascii="Verdana" w:eastAsia="Times New Roman" w:hAnsi="Verdana"/>
          <w:b/>
          <w:sz w:val="20"/>
          <w:szCs w:val="20"/>
        </w:rPr>
        <w:t>des</w:t>
      </w:r>
      <w:proofErr w:type="spellEnd"/>
      <w:r w:rsidRPr="007D698A">
        <w:rPr>
          <w:rFonts w:ascii="Verdana" w:eastAsia="Times New Roman" w:hAnsi="Verdana"/>
          <w:b/>
          <w:sz w:val="20"/>
          <w:szCs w:val="20"/>
        </w:rPr>
        <w:t>)controle</w:t>
      </w:r>
      <w:proofErr w:type="gramEnd"/>
      <w:r w:rsidRPr="007D698A">
        <w:rPr>
          <w:rFonts w:ascii="Verdana" w:eastAsia="Times New Roman" w:hAnsi="Verdana"/>
          <w:b/>
          <w:sz w:val="20"/>
          <w:szCs w:val="20"/>
        </w:rPr>
        <w:t xml:space="preserve"> dos poderes privados e as ameaças à democracia</w:t>
      </w:r>
    </w:p>
    <w:bookmarkEnd w:id="3"/>
    <w:p w14:paraId="750023E8" w14:textId="77777777" w:rsidR="007D698A" w:rsidRPr="007D698A" w:rsidRDefault="007D698A" w:rsidP="007D698A">
      <w:pPr>
        <w:spacing w:after="0" w:line="240" w:lineRule="auto"/>
        <w:jc w:val="both"/>
        <w:rPr>
          <w:rFonts w:ascii="Verdana" w:eastAsia="Times New Roman" w:hAnsi="Verdana"/>
          <w:sz w:val="20"/>
          <w:szCs w:val="20"/>
          <w:shd w:val="clear" w:color="auto" w:fill="FFFFFF"/>
        </w:rPr>
      </w:pPr>
    </w:p>
    <w:p w14:paraId="216E5EF0" w14:textId="77777777" w:rsidR="007D698A" w:rsidRPr="007D698A" w:rsidRDefault="007D698A" w:rsidP="007D698A">
      <w:pPr>
        <w:spacing w:after="0" w:line="240" w:lineRule="auto"/>
        <w:ind w:firstLine="709"/>
        <w:jc w:val="both"/>
        <w:rPr>
          <w:rFonts w:ascii="Verdana" w:eastAsia="Times New Roman" w:hAnsi="Verdana"/>
          <w:sz w:val="20"/>
          <w:szCs w:val="20"/>
          <w:shd w:val="clear" w:color="auto" w:fill="FFFFFF"/>
        </w:rPr>
      </w:pPr>
      <w:r w:rsidRPr="007D698A">
        <w:rPr>
          <w:rFonts w:ascii="Verdana" w:eastAsia="Times New Roman" w:hAnsi="Verdana"/>
          <w:sz w:val="20"/>
          <w:szCs w:val="20"/>
          <w:shd w:val="clear" w:color="auto" w:fill="FFFFFF"/>
        </w:rPr>
        <w:t>No decorrer da história, o século XX foi marcado por guerras devastadoras, genocídio, fome e ideologias extremas. Contudo, o mundo que se começou a construir após a Segunda Guerra Mundial era impulsionado por uma lógica de inclusão, por esforços combinados para trazer os pobres e os marginalizados até a corrente política e econômica dominante.  Nessa lógica, o projeto do Estado de bem-estar social também era um meio de promover o interesse público e fazer aumentar uma prosperidade compartilhada</w:t>
      </w:r>
      <w:r w:rsidRPr="007D698A">
        <w:rPr>
          <w:rFonts w:ascii="Verdana" w:eastAsia="Times New Roman" w:hAnsi="Verdana"/>
          <w:sz w:val="20"/>
          <w:szCs w:val="20"/>
          <w:shd w:val="clear" w:color="auto" w:fill="FFFFFF"/>
          <w:vertAlign w:val="superscript"/>
        </w:rPr>
        <w:footnoteReference w:id="56"/>
      </w:r>
      <w:r w:rsidRPr="007D698A">
        <w:rPr>
          <w:rFonts w:ascii="Verdana" w:eastAsia="Times New Roman" w:hAnsi="Verdana"/>
          <w:sz w:val="20"/>
          <w:szCs w:val="20"/>
          <w:shd w:val="clear" w:color="auto" w:fill="FFFFFF"/>
        </w:rPr>
        <w:t>.</w:t>
      </w:r>
    </w:p>
    <w:p w14:paraId="223CE725" w14:textId="77777777" w:rsidR="007D698A" w:rsidRPr="007D698A" w:rsidRDefault="007D698A" w:rsidP="007D698A">
      <w:pPr>
        <w:spacing w:after="0" w:line="240" w:lineRule="auto"/>
        <w:ind w:firstLine="709"/>
        <w:jc w:val="both"/>
        <w:rPr>
          <w:rFonts w:ascii="Verdana" w:eastAsia="Times New Roman" w:hAnsi="Verdana"/>
          <w:sz w:val="20"/>
          <w:szCs w:val="20"/>
          <w:shd w:val="clear" w:color="auto" w:fill="FFFFFF"/>
        </w:rPr>
      </w:pPr>
      <w:r w:rsidRPr="007D698A">
        <w:rPr>
          <w:rFonts w:ascii="Verdana" w:eastAsia="Times New Roman" w:hAnsi="Verdana"/>
          <w:sz w:val="20"/>
          <w:szCs w:val="20"/>
          <w:shd w:val="clear" w:color="auto" w:fill="FFFFFF"/>
        </w:rPr>
        <w:t xml:space="preserve">Todavia, o fato da sociedade globalizada ter caído sob a influência de uma economia sem limites indica o quanto as instituições estão cada vez mais a serviço </w:t>
      </w:r>
      <w:r w:rsidRPr="007D698A">
        <w:rPr>
          <w:rFonts w:ascii="Verdana" w:eastAsia="Times New Roman" w:hAnsi="Verdana"/>
          <w:sz w:val="20"/>
          <w:szCs w:val="20"/>
          <w:shd w:val="clear" w:color="auto" w:fill="FFFFFF"/>
        </w:rPr>
        <w:lastRenderedPageBreak/>
        <w:t>do crescimento econômico corporativo. Na mesma linha, um número suficiente de empresas procurou se libertar de quaisquer restrições, incluindo as de interesse público local, que interfiram em sua busca de busca de lucro.</w:t>
      </w:r>
    </w:p>
    <w:p w14:paraId="157C34A3" w14:textId="77777777" w:rsidR="007D698A" w:rsidRPr="007D698A" w:rsidRDefault="007D698A" w:rsidP="007D698A">
      <w:pPr>
        <w:spacing w:after="0" w:line="240" w:lineRule="auto"/>
        <w:ind w:firstLine="709"/>
        <w:jc w:val="both"/>
        <w:rPr>
          <w:rFonts w:ascii="Verdana" w:eastAsia="Times New Roman" w:hAnsi="Verdana"/>
          <w:sz w:val="20"/>
          <w:szCs w:val="20"/>
          <w:shd w:val="clear" w:color="auto" w:fill="FFFFFF"/>
        </w:rPr>
      </w:pPr>
      <w:r w:rsidRPr="007D698A">
        <w:rPr>
          <w:rFonts w:ascii="Verdana" w:eastAsia="Times New Roman" w:hAnsi="Verdana"/>
          <w:sz w:val="20"/>
          <w:szCs w:val="20"/>
          <w:shd w:val="clear" w:color="auto" w:fill="FFFFFF"/>
        </w:rPr>
        <w:t>Há que se destacar que os governos ocidentais, os bancos centrais, o Fundo Monetário Internacional (FMI) e instituições internacionais afins agora falam sobre a necessidade de reduzir as dívidas governamentais excessivas, reduzir os programas de bem-estar social excessivos, reduzir a regulamentação excessiva. Essa é a linguagem das principais instituições que colocam ordem no mundo globalizado, propagando a promessa implícita de que ao reduzir esses excessos de políticas sociais, seria possível voltar aos “dias mais fáceis do pós-guerra”</w:t>
      </w:r>
      <w:r w:rsidRPr="007D698A">
        <w:rPr>
          <w:rFonts w:ascii="Verdana" w:eastAsia="Times New Roman" w:hAnsi="Verdana"/>
          <w:sz w:val="20"/>
          <w:szCs w:val="20"/>
          <w:shd w:val="clear" w:color="auto" w:fill="FFFFFF"/>
          <w:vertAlign w:val="superscript"/>
        </w:rPr>
        <w:footnoteReference w:id="57"/>
      </w:r>
      <w:r w:rsidRPr="007D698A">
        <w:rPr>
          <w:rFonts w:ascii="Verdana" w:eastAsia="Times New Roman" w:hAnsi="Verdana"/>
          <w:sz w:val="20"/>
          <w:szCs w:val="20"/>
          <w:shd w:val="clear" w:color="auto" w:fill="FFFFFF"/>
        </w:rPr>
        <w:t>.</w:t>
      </w:r>
    </w:p>
    <w:p w14:paraId="58FBFB8C" w14:textId="77777777" w:rsidR="007D698A" w:rsidRPr="007D698A" w:rsidRDefault="007D698A" w:rsidP="007D698A">
      <w:pPr>
        <w:spacing w:after="0" w:line="240" w:lineRule="auto"/>
        <w:ind w:firstLine="709"/>
        <w:jc w:val="both"/>
        <w:rPr>
          <w:rFonts w:ascii="Verdana" w:eastAsia="Times New Roman" w:hAnsi="Verdana"/>
          <w:sz w:val="20"/>
          <w:szCs w:val="20"/>
          <w:shd w:val="clear" w:color="auto" w:fill="FFFFFF"/>
        </w:rPr>
      </w:pPr>
      <w:r w:rsidRPr="007D698A">
        <w:rPr>
          <w:rFonts w:ascii="Verdana" w:eastAsia="Times New Roman" w:hAnsi="Verdana"/>
          <w:sz w:val="20"/>
          <w:szCs w:val="20"/>
          <w:shd w:val="clear" w:color="auto" w:fill="FFFFFF"/>
        </w:rPr>
        <w:t>Da mesma forma como se constatou no tópico anterior com relação às promessas de “emprego e crescimento” da reforma trabalhista do Brasil, evidencia-se o fato de que tais promessas escondem a medida de que um mundo “pós-guerra” que não mais existe e, apesar do que possam dizer os governos nacionais, muitos atores econômicos corporativos não o desejam de volta. Os atores econômicos querem “um mundo em que os governos gastem muito menos com serviços sociais ou com as necessidades das economias de bairro ou das pequenas empresas, e muito mais com as desregulamentações e infraestruturas que os setores econômicos corporativos almejam”</w:t>
      </w:r>
      <w:r w:rsidRPr="007D698A">
        <w:rPr>
          <w:rFonts w:ascii="Verdana" w:eastAsia="Times New Roman" w:hAnsi="Verdana"/>
          <w:sz w:val="20"/>
          <w:szCs w:val="20"/>
          <w:shd w:val="clear" w:color="auto" w:fill="FFFFFF"/>
          <w:vertAlign w:val="superscript"/>
        </w:rPr>
        <w:footnoteReference w:id="58"/>
      </w:r>
      <w:r w:rsidRPr="007D698A">
        <w:rPr>
          <w:rFonts w:ascii="Verdana" w:eastAsia="Times New Roman" w:hAnsi="Verdana"/>
          <w:sz w:val="20"/>
          <w:szCs w:val="20"/>
          <w:shd w:val="clear" w:color="auto" w:fill="FFFFFF"/>
        </w:rPr>
        <w:t>.</w:t>
      </w:r>
    </w:p>
    <w:p w14:paraId="55EE1BC0" w14:textId="77777777" w:rsidR="007D698A" w:rsidRPr="007D698A" w:rsidRDefault="007D698A" w:rsidP="007D698A">
      <w:pPr>
        <w:spacing w:after="0" w:line="240" w:lineRule="auto"/>
        <w:ind w:firstLine="709"/>
        <w:jc w:val="both"/>
        <w:rPr>
          <w:rFonts w:ascii="Verdana" w:eastAsia="Times New Roman" w:hAnsi="Verdana"/>
          <w:color w:val="4F81BD"/>
          <w:sz w:val="20"/>
          <w:szCs w:val="20"/>
          <w:shd w:val="clear" w:color="auto" w:fill="FFFFFF"/>
        </w:rPr>
      </w:pPr>
      <w:r w:rsidRPr="007D698A">
        <w:rPr>
          <w:rFonts w:ascii="Verdana" w:eastAsia="Times New Roman" w:hAnsi="Verdana"/>
          <w:sz w:val="20"/>
          <w:szCs w:val="20"/>
          <w:shd w:val="clear" w:color="auto" w:fill="FFFFFF"/>
        </w:rPr>
        <w:t>Se outrora o Estado (democrático) de Direito foi pensado para salvaguardar os direitos fundamentais dos cidadãos, atualmente o cenário de desfragmentação das instituições estatais aponta uma perspectiva diversa, na medida em que, ao lado da insuficiência de atuação para a garantia desses direitos, existe um déficit de confiança nas instituições políticas. O poder das grandes corporações empresariais monopoliza as pautas governamentais, fazendo com que a ausência de instrumentos de controle conduza ao enfraquecimento da democracia.</w:t>
      </w:r>
    </w:p>
    <w:p w14:paraId="2AAB7230" w14:textId="77777777" w:rsidR="007D698A" w:rsidRPr="007D698A" w:rsidRDefault="007D698A" w:rsidP="007D698A">
      <w:pPr>
        <w:spacing w:after="0" w:line="240" w:lineRule="auto"/>
        <w:ind w:firstLine="709"/>
        <w:jc w:val="both"/>
        <w:rPr>
          <w:rFonts w:ascii="Verdana" w:eastAsia="Times New Roman" w:hAnsi="Verdana"/>
          <w:sz w:val="20"/>
          <w:szCs w:val="20"/>
        </w:rPr>
      </w:pPr>
      <w:r w:rsidRPr="007D698A">
        <w:rPr>
          <w:rFonts w:ascii="Verdana" w:eastAsia="Times New Roman" w:hAnsi="Verdana"/>
          <w:sz w:val="20"/>
          <w:szCs w:val="20"/>
        </w:rPr>
        <w:t>Uma realidade que começa a sinalizar a crise democrática é o desaparecimento do nexo entre democracia e povo e entre poderes e (Estado de) direito, em mundo de soberanias desiguais e crescente interdependência, no qual as decisões mais relevantes dizem respeito a poderes direta ou indiretamente democráticos e subordinados à lei. Quer dizer, as pessoas convivem com a sensação de que são governadas por sujeitos que não as representam, enquanto os sujeitos que as representam são àqueles subalternos e impotentes diante deles</w:t>
      </w:r>
      <w:r w:rsidRPr="007D698A">
        <w:rPr>
          <w:rFonts w:ascii="Verdana" w:eastAsia="Times New Roman" w:hAnsi="Verdana"/>
          <w:sz w:val="20"/>
          <w:szCs w:val="20"/>
          <w:vertAlign w:val="superscript"/>
        </w:rPr>
        <w:footnoteReference w:id="59"/>
      </w:r>
      <w:r w:rsidRPr="007D698A">
        <w:rPr>
          <w:rFonts w:ascii="Verdana" w:eastAsia="Times New Roman" w:hAnsi="Verdana"/>
          <w:sz w:val="20"/>
          <w:szCs w:val="20"/>
        </w:rPr>
        <w:t>.</w:t>
      </w:r>
    </w:p>
    <w:p w14:paraId="0E486253" w14:textId="77777777" w:rsidR="007D698A" w:rsidRPr="007D698A" w:rsidRDefault="007D698A" w:rsidP="007D698A">
      <w:pPr>
        <w:spacing w:after="0" w:line="240" w:lineRule="auto"/>
        <w:ind w:firstLine="709"/>
        <w:jc w:val="both"/>
        <w:rPr>
          <w:rFonts w:ascii="Verdana" w:eastAsia="Times New Roman" w:hAnsi="Verdana"/>
          <w:sz w:val="20"/>
          <w:szCs w:val="20"/>
        </w:rPr>
      </w:pPr>
      <w:r w:rsidRPr="007D698A">
        <w:rPr>
          <w:rFonts w:ascii="Verdana" w:eastAsia="Times New Roman" w:hAnsi="Verdana"/>
          <w:sz w:val="20"/>
          <w:szCs w:val="20"/>
        </w:rPr>
        <w:t>A partir desse cenário, o ponto de intersecção entre a crise do estado e da democracia se traduz no desencadeamento de uma crise da política, caracterizada pelo descrédito da população em relação ao sistema democrático</w:t>
      </w:r>
      <w:r w:rsidRPr="007D698A">
        <w:rPr>
          <w:rFonts w:ascii="Verdana" w:eastAsia="Times New Roman" w:hAnsi="Verdana"/>
          <w:sz w:val="20"/>
          <w:szCs w:val="20"/>
          <w:vertAlign w:val="superscript"/>
        </w:rPr>
        <w:footnoteReference w:id="60"/>
      </w:r>
      <w:r w:rsidRPr="007D698A">
        <w:rPr>
          <w:rFonts w:ascii="Verdana" w:eastAsia="Times New Roman" w:hAnsi="Verdana"/>
          <w:sz w:val="20"/>
          <w:szCs w:val="20"/>
        </w:rPr>
        <w:t>. Consequentemente, em quase todos os países, aumenta “o número de cidadãos, especialmente entre os mais pobres, que se abstém nas eleições e não têm confiança na política, por eles vislumbrada indistintamente como hostil”</w:t>
      </w:r>
      <w:r w:rsidRPr="007D698A">
        <w:rPr>
          <w:rFonts w:ascii="Verdana" w:eastAsia="Times New Roman" w:hAnsi="Verdana"/>
          <w:sz w:val="20"/>
          <w:szCs w:val="20"/>
          <w:vertAlign w:val="superscript"/>
        </w:rPr>
        <w:footnoteReference w:id="61"/>
      </w:r>
    </w:p>
    <w:p w14:paraId="09F0B730" w14:textId="77777777" w:rsidR="007D698A" w:rsidRPr="007D698A" w:rsidRDefault="007D698A" w:rsidP="007D698A">
      <w:pPr>
        <w:spacing w:after="0" w:line="240" w:lineRule="auto"/>
        <w:ind w:firstLine="709"/>
        <w:jc w:val="both"/>
        <w:rPr>
          <w:rFonts w:ascii="Verdana" w:eastAsia="Times New Roman" w:hAnsi="Verdana"/>
          <w:sz w:val="20"/>
          <w:szCs w:val="20"/>
        </w:rPr>
      </w:pPr>
      <w:r w:rsidRPr="007D698A">
        <w:rPr>
          <w:rFonts w:ascii="Verdana" w:eastAsia="Times New Roman" w:hAnsi="Verdana"/>
          <w:sz w:val="20"/>
          <w:szCs w:val="20"/>
        </w:rPr>
        <w:lastRenderedPageBreak/>
        <w:t xml:space="preserve">Por outro lado, a democracia não pode (e não deve) significar o simples voto, a participação de todos na tomada das decisões é de relevante importância nesse contexto. Tal é a importância desse preceito que, questiona-se como seria possível a criação de condições objetivas para que os grupos com menos recursos da população pudessem atuar por meio de </w:t>
      </w:r>
      <w:r w:rsidRPr="007D698A">
        <w:rPr>
          <w:rFonts w:ascii="Verdana" w:eastAsia="Times New Roman" w:hAnsi="Verdana"/>
          <w:i/>
          <w:sz w:val="20"/>
          <w:szCs w:val="20"/>
        </w:rPr>
        <w:t>lobby</w:t>
      </w:r>
      <w:r w:rsidRPr="007D698A">
        <w:rPr>
          <w:rFonts w:ascii="Verdana" w:eastAsia="Times New Roman" w:hAnsi="Verdana"/>
          <w:sz w:val="20"/>
          <w:szCs w:val="20"/>
        </w:rPr>
        <w:t>. Isso porque, o cidadão comum não consegue “</w:t>
      </w:r>
      <w:r w:rsidRPr="007D698A">
        <w:rPr>
          <w:rFonts w:ascii="Verdana" w:eastAsia="Times New Roman" w:hAnsi="Verdana"/>
          <w:i/>
          <w:sz w:val="20"/>
          <w:szCs w:val="20"/>
        </w:rPr>
        <w:t>fazer lobby</w:t>
      </w:r>
      <w:r w:rsidRPr="007D698A">
        <w:rPr>
          <w:rFonts w:ascii="Verdana" w:eastAsia="Times New Roman" w:hAnsi="Verdana"/>
          <w:sz w:val="20"/>
          <w:szCs w:val="20"/>
        </w:rPr>
        <w:t>”. A prática, por enquanto, é restrita a grupos bem organizados e economicamente fortalecidos e fomenta o desequilíbrio de poderes entre setores da sociedade, ao passo em que gera uma sensação de que grupos minoritários ou sem recursos para atuar politicamente sempre saem perdendo. Em entrevista, Manoel Santos explica que essa realidade é um problema para a democracia, pois inverte os ideais democráticos que buscam a inclusão, por isso assinala-se a necessidade de se constituírem mecanismos que deem voz também aos setores historicamente alijados do processo decisório</w:t>
      </w:r>
      <w:r w:rsidRPr="007D698A">
        <w:rPr>
          <w:rFonts w:ascii="Verdana" w:eastAsia="Times New Roman" w:hAnsi="Verdana"/>
          <w:sz w:val="20"/>
          <w:szCs w:val="20"/>
          <w:vertAlign w:val="superscript"/>
        </w:rPr>
        <w:footnoteReference w:id="62"/>
      </w:r>
      <w:r w:rsidRPr="007D698A">
        <w:rPr>
          <w:rFonts w:ascii="Verdana" w:eastAsia="Times New Roman" w:hAnsi="Verdana"/>
          <w:sz w:val="20"/>
          <w:szCs w:val="20"/>
        </w:rPr>
        <w:t>.</w:t>
      </w:r>
    </w:p>
    <w:p w14:paraId="72B06648" w14:textId="77777777" w:rsidR="007D698A" w:rsidRPr="007D698A" w:rsidRDefault="007D698A" w:rsidP="007D698A">
      <w:pPr>
        <w:spacing w:after="0" w:line="240" w:lineRule="auto"/>
        <w:ind w:firstLine="709"/>
        <w:jc w:val="both"/>
        <w:rPr>
          <w:rFonts w:ascii="Verdana" w:eastAsia="Times New Roman" w:hAnsi="Verdana"/>
          <w:sz w:val="20"/>
          <w:szCs w:val="20"/>
        </w:rPr>
      </w:pPr>
      <w:r w:rsidRPr="007D698A">
        <w:rPr>
          <w:rFonts w:ascii="Verdana" w:eastAsia="Times New Roman" w:hAnsi="Verdana"/>
          <w:sz w:val="20"/>
          <w:szCs w:val="20"/>
        </w:rPr>
        <w:t>Aliado a esses fatores e, frente à incapacidade estatal de regulação do labirinto institucional e à ausência de limites aos grandes poderes econômicos e financeiros, tem-se um ganho de protagonismo cada vez maior de atores privados, marcado pela sua influência no campo político, de modo que existe uma distribuição das cartas “em favor do 1% do topo”.  Nesse sentido, Stiglitz indica que “os ricos não precisam do Estado de Direito; eles podem, e de fato fazem, moldar os processos políticos e econômicos a seu proveito”</w:t>
      </w:r>
      <w:r w:rsidRPr="007D698A">
        <w:rPr>
          <w:rFonts w:ascii="Verdana" w:eastAsia="Times New Roman" w:hAnsi="Verdana"/>
          <w:sz w:val="20"/>
          <w:szCs w:val="20"/>
          <w:vertAlign w:val="superscript"/>
        </w:rPr>
        <w:footnoteReference w:id="63"/>
      </w:r>
      <w:r w:rsidRPr="007D698A">
        <w:rPr>
          <w:rFonts w:ascii="Verdana" w:eastAsia="Times New Roman" w:hAnsi="Verdana"/>
          <w:sz w:val="20"/>
          <w:szCs w:val="20"/>
        </w:rPr>
        <w:t>.</w:t>
      </w:r>
    </w:p>
    <w:p w14:paraId="7450BAAF" w14:textId="77777777" w:rsidR="007D698A" w:rsidRPr="007D698A" w:rsidRDefault="007D698A" w:rsidP="007D698A">
      <w:pPr>
        <w:spacing w:after="0" w:line="240" w:lineRule="auto"/>
        <w:ind w:firstLine="709"/>
        <w:jc w:val="both"/>
        <w:rPr>
          <w:rFonts w:ascii="Verdana" w:eastAsia="Times New Roman" w:hAnsi="Verdana"/>
          <w:sz w:val="20"/>
          <w:szCs w:val="20"/>
        </w:rPr>
      </w:pPr>
      <w:r w:rsidRPr="007D698A">
        <w:rPr>
          <w:rFonts w:ascii="Verdana" w:eastAsia="Times New Roman" w:hAnsi="Verdana"/>
          <w:sz w:val="20"/>
          <w:szCs w:val="20"/>
        </w:rPr>
        <w:t>Conforme mencionado anteriormente, essas elites econômicas, ao controlar as decisões políticas, fortalecem a sensação de desilusão (descrença) das pessoas em relação ao voto. Por esse motivo, assinala-se que os problemas de cunho democrático transitam desde a esfera da descrença no voto, até falta de noção de que a democracia deve ser mais que o simples voto. A substituição do governo político e democrático da economia pelo governo econômico não democrático da política engloba um cenário em que a Constituição é removida do horizonte da ação do governo, juntamente com a redução das promessas excessivas da democracia constitucional</w:t>
      </w:r>
      <w:r w:rsidRPr="007D698A">
        <w:rPr>
          <w:rFonts w:ascii="Verdana" w:eastAsia="Times New Roman" w:hAnsi="Verdana"/>
          <w:sz w:val="20"/>
          <w:szCs w:val="20"/>
          <w:vertAlign w:val="superscript"/>
        </w:rPr>
        <w:footnoteReference w:id="64"/>
      </w:r>
      <w:r w:rsidRPr="007D698A">
        <w:rPr>
          <w:rFonts w:ascii="Verdana" w:eastAsia="Times New Roman" w:hAnsi="Verdana"/>
          <w:sz w:val="20"/>
          <w:szCs w:val="20"/>
        </w:rPr>
        <w:t xml:space="preserve">. Nessa seara, vive-se uma crise do Estado e de seu papel </w:t>
      </w:r>
      <w:proofErr w:type="spellStart"/>
      <w:r w:rsidRPr="007D698A">
        <w:rPr>
          <w:rFonts w:ascii="Verdana" w:eastAsia="Times New Roman" w:hAnsi="Verdana"/>
          <w:sz w:val="20"/>
          <w:szCs w:val="20"/>
        </w:rPr>
        <w:t>garantista</w:t>
      </w:r>
      <w:proofErr w:type="spellEnd"/>
      <w:r w:rsidRPr="007D698A">
        <w:rPr>
          <w:rFonts w:ascii="Verdana" w:eastAsia="Times New Roman" w:hAnsi="Verdana"/>
          <w:sz w:val="20"/>
          <w:szCs w:val="20"/>
        </w:rPr>
        <w:t xml:space="preserve"> das constituições, ou conforme defende </w:t>
      </w:r>
      <w:proofErr w:type="spellStart"/>
      <w:r w:rsidRPr="007D698A">
        <w:rPr>
          <w:rFonts w:ascii="Verdana" w:eastAsia="Times New Roman" w:hAnsi="Verdana"/>
          <w:sz w:val="20"/>
          <w:szCs w:val="20"/>
        </w:rPr>
        <w:t>Rancière</w:t>
      </w:r>
      <w:proofErr w:type="spellEnd"/>
      <w:r w:rsidRPr="007D698A">
        <w:rPr>
          <w:rFonts w:ascii="Verdana" w:eastAsia="Times New Roman" w:hAnsi="Verdana"/>
          <w:sz w:val="20"/>
          <w:szCs w:val="20"/>
        </w:rPr>
        <w:t>, um “governo pacífico da oligarquia” que desvia as paixões democráticas aos prazeres privados e as torna insensíveis ao bem comum</w:t>
      </w:r>
      <w:r w:rsidRPr="007D698A">
        <w:rPr>
          <w:rFonts w:ascii="Verdana" w:eastAsia="Times New Roman" w:hAnsi="Verdana"/>
          <w:sz w:val="20"/>
          <w:szCs w:val="20"/>
          <w:vertAlign w:val="superscript"/>
        </w:rPr>
        <w:footnoteReference w:id="65"/>
      </w:r>
      <w:r w:rsidRPr="007D698A">
        <w:rPr>
          <w:rFonts w:ascii="Verdana" w:eastAsia="Times New Roman" w:hAnsi="Verdana"/>
          <w:sz w:val="20"/>
          <w:szCs w:val="20"/>
        </w:rPr>
        <w:t>.</w:t>
      </w:r>
    </w:p>
    <w:p w14:paraId="5816C661" w14:textId="77777777" w:rsidR="007D698A" w:rsidRPr="007D698A" w:rsidRDefault="007D698A" w:rsidP="007D698A">
      <w:pPr>
        <w:spacing w:after="0" w:line="240" w:lineRule="auto"/>
        <w:ind w:firstLine="709"/>
        <w:jc w:val="both"/>
        <w:rPr>
          <w:rFonts w:ascii="Verdana" w:eastAsia="Times New Roman" w:hAnsi="Verdana"/>
          <w:sz w:val="20"/>
          <w:szCs w:val="20"/>
          <w:shd w:val="clear" w:color="auto" w:fill="FFFFFF"/>
        </w:rPr>
      </w:pPr>
      <w:r w:rsidRPr="007D698A">
        <w:rPr>
          <w:rFonts w:ascii="Verdana" w:eastAsia="Times New Roman" w:hAnsi="Verdana"/>
          <w:sz w:val="20"/>
          <w:szCs w:val="20"/>
          <w:shd w:val="clear" w:color="auto" w:fill="FFFFFF"/>
        </w:rPr>
        <w:t>Avançando no tema, para a compreensão de alguns problemas de caráter democrático que marcam a era da globalização é importante, num primeiro momento, traçar as características de oligarquia. De acordo com a definição de Bobbio, oligarquia pode ser compreendida como o “governo de poucos”, ou como “domínio exercido por um pequeno número de dominadores”. A definição de oligarquia, nesse contexto, não indica uma forma específica de governo, mas se limita a chamar a atenção para o fato de que o poder supremo está nas mãos de um restrito grupo de pessoas fechado e que goza de privilégios particulares, servindo-se de todos os meios que o poder coloca ao seu alcance para conservá-lo</w:t>
      </w:r>
      <w:r w:rsidRPr="007D698A">
        <w:rPr>
          <w:rFonts w:ascii="Verdana" w:eastAsia="Times New Roman" w:hAnsi="Verdana"/>
          <w:sz w:val="20"/>
          <w:szCs w:val="20"/>
          <w:shd w:val="clear" w:color="auto" w:fill="FFFFFF"/>
          <w:vertAlign w:val="superscript"/>
        </w:rPr>
        <w:footnoteReference w:id="66"/>
      </w:r>
      <w:r w:rsidRPr="007D698A">
        <w:rPr>
          <w:rFonts w:ascii="Verdana" w:eastAsia="Times New Roman" w:hAnsi="Verdana"/>
          <w:sz w:val="20"/>
          <w:szCs w:val="20"/>
          <w:shd w:val="clear" w:color="auto" w:fill="FFFFFF"/>
        </w:rPr>
        <w:t>.</w:t>
      </w:r>
    </w:p>
    <w:p w14:paraId="7CC56C59" w14:textId="77777777" w:rsidR="007D698A" w:rsidRPr="007D698A" w:rsidRDefault="007D698A" w:rsidP="007D698A">
      <w:pPr>
        <w:spacing w:after="0" w:line="240" w:lineRule="auto"/>
        <w:ind w:firstLine="709"/>
        <w:jc w:val="both"/>
        <w:rPr>
          <w:rFonts w:ascii="Verdana" w:eastAsia="Times New Roman" w:hAnsi="Verdana"/>
          <w:sz w:val="20"/>
          <w:szCs w:val="20"/>
          <w:shd w:val="clear" w:color="auto" w:fill="FFFFFF"/>
        </w:rPr>
      </w:pPr>
      <w:r w:rsidRPr="007D698A">
        <w:rPr>
          <w:rFonts w:ascii="Verdana" w:eastAsia="Times New Roman" w:hAnsi="Verdana"/>
          <w:sz w:val="20"/>
          <w:szCs w:val="20"/>
          <w:shd w:val="clear" w:color="auto" w:fill="FFFFFF"/>
        </w:rPr>
        <w:t xml:space="preserve">Após a Segunda Guerra Mundial, o termo a oligarquia passou a ser estudado com sentido diverso, indicando uma ideia oposta à democracia. A partir </w:t>
      </w:r>
      <w:proofErr w:type="gramStart"/>
      <w:r w:rsidRPr="007D698A">
        <w:rPr>
          <w:rFonts w:ascii="Verdana" w:eastAsia="Times New Roman" w:hAnsi="Verdana"/>
          <w:sz w:val="20"/>
          <w:szCs w:val="20"/>
          <w:shd w:val="clear" w:color="auto" w:fill="FFFFFF"/>
        </w:rPr>
        <w:t>daí, sistemas</w:t>
      </w:r>
      <w:proofErr w:type="gramEnd"/>
      <w:r w:rsidRPr="007D698A">
        <w:rPr>
          <w:rFonts w:ascii="Verdana" w:eastAsia="Times New Roman" w:hAnsi="Verdana"/>
          <w:sz w:val="20"/>
          <w:szCs w:val="20"/>
          <w:shd w:val="clear" w:color="auto" w:fill="FFFFFF"/>
        </w:rPr>
        <w:t xml:space="preserve"> oligárquicos e sistemas democráticos são antagônicos. Nesse contexto, as oligarquias se caracterizam pela presença de um grupo de poder restrito, homogêneo e estável, com uma boa organização interna, governando de modo autoritário, robustecendo o </w:t>
      </w:r>
      <w:r w:rsidRPr="007D698A">
        <w:rPr>
          <w:rFonts w:ascii="Verdana" w:eastAsia="Times New Roman" w:hAnsi="Verdana"/>
          <w:sz w:val="20"/>
          <w:szCs w:val="20"/>
          <w:shd w:val="clear" w:color="auto" w:fill="FFFFFF"/>
        </w:rPr>
        <w:lastRenderedPageBreak/>
        <w:t>executivo, controlando o judiciário, marginalizando ou excluindo o poder legislativo e desencorajando ou eliminando a oposição</w:t>
      </w:r>
      <w:r w:rsidRPr="007D698A">
        <w:rPr>
          <w:rFonts w:ascii="Verdana" w:eastAsia="Times New Roman" w:hAnsi="Verdana"/>
          <w:sz w:val="20"/>
          <w:szCs w:val="20"/>
          <w:shd w:val="clear" w:color="auto" w:fill="FFFFFF"/>
          <w:vertAlign w:val="superscript"/>
        </w:rPr>
        <w:footnoteReference w:id="67"/>
      </w:r>
      <w:r w:rsidRPr="007D698A">
        <w:rPr>
          <w:rFonts w:ascii="Verdana" w:eastAsia="Times New Roman" w:hAnsi="Verdana"/>
          <w:sz w:val="20"/>
          <w:szCs w:val="20"/>
          <w:shd w:val="clear" w:color="auto" w:fill="FFFFFF"/>
        </w:rPr>
        <w:t>.</w:t>
      </w:r>
    </w:p>
    <w:p w14:paraId="3CDA8EDD" w14:textId="77777777" w:rsidR="007D698A" w:rsidRPr="007D698A" w:rsidRDefault="007D698A" w:rsidP="007D698A">
      <w:pPr>
        <w:spacing w:after="0" w:line="240" w:lineRule="auto"/>
        <w:ind w:firstLine="709"/>
        <w:jc w:val="both"/>
        <w:rPr>
          <w:rFonts w:ascii="Verdana" w:eastAsia="Times New Roman" w:hAnsi="Verdana"/>
          <w:sz w:val="20"/>
          <w:szCs w:val="20"/>
          <w:shd w:val="clear" w:color="auto" w:fill="FFFFFF"/>
        </w:rPr>
      </w:pPr>
      <w:r w:rsidRPr="007D698A">
        <w:rPr>
          <w:rFonts w:ascii="Verdana" w:eastAsia="Times New Roman" w:hAnsi="Verdana"/>
          <w:sz w:val="20"/>
          <w:szCs w:val="20"/>
          <w:shd w:val="clear" w:color="auto" w:fill="FFFFFF"/>
        </w:rPr>
        <w:t xml:space="preserve">Inobstante à referência de que democracia e oligarquia são sistemas antagônicos, vale lembrar que, atualmente, o cenário marcado pela influência e notoriedade da atuação de atores econômicos leva à suposição de que oligarquias governam dentro de sistemas democráticos. De fato, os poderes desregulados do capitalismo operam nos Estados impondo-lhes políticas antissociais e fortalecendo seu poder constantemente. Em outras palavras, quer dizer que as decisões políticas de um Estado </w:t>
      </w:r>
      <w:proofErr w:type="gramStart"/>
      <w:r w:rsidRPr="007D698A">
        <w:rPr>
          <w:rFonts w:ascii="Verdana" w:eastAsia="Times New Roman" w:hAnsi="Verdana"/>
          <w:sz w:val="20"/>
          <w:szCs w:val="20"/>
          <w:shd w:val="clear" w:color="auto" w:fill="FFFFFF"/>
        </w:rPr>
        <w:t>encontram-se</w:t>
      </w:r>
      <w:proofErr w:type="gramEnd"/>
      <w:r w:rsidRPr="007D698A">
        <w:rPr>
          <w:rFonts w:ascii="Verdana" w:eastAsia="Times New Roman" w:hAnsi="Verdana"/>
          <w:sz w:val="20"/>
          <w:szCs w:val="20"/>
          <w:shd w:val="clear" w:color="auto" w:fill="FFFFFF"/>
        </w:rPr>
        <w:t xml:space="preserve"> nas mãos de um pequeno número de dominadores, fazendo com que a concentração de poder esteja em um só conjunto de atores.</w:t>
      </w:r>
    </w:p>
    <w:p w14:paraId="27A789EE" w14:textId="77777777" w:rsidR="007D698A" w:rsidRPr="007D698A" w:rsidRDefault="007D698A" w:rsidP="007D698A">
      <w:pPr>
        <w:spacing w:after="0" w:line="240" w:lineRule="auto"/>
        <w:ind w:firstLine="709"/>
        <w:jc w:val="both"/>
        <w:rPr>
          <w:rFonts w:ascii="Verdana" w:eastAsia="Times New Roman" w:hAnsi="Verdana"/>
          <w:sz w:val="20"/>
          <w:szCs w:val="20"/>
          <w:shd w:val="clear" w:color="auto" w:fill="FFFFFF"/>
        </w:rPr>
      </w:pPr>
      <w:r w:rsidRPr="007D698A">
        <w:rPr>
          <w:rFonts w:ascii="Verdana" w:eastAsia="Times New Roman" w:hAnsi="Verdana"/>
          <w:sz w:val="20"/>
          <w:szCs w:val="20"/>
          <w:shd w:val="clear" w:color="auto" w:fill="FFFFFF"/>
        </w:rPr>
        <w:t>Trazendo ao estudo o termo “</w:t>
      </w:r>
      <w:proofErr w:type="spellStart"/>
      <w:r w:rsidRPr="007D698A">
        <w:rPr>
          <w:rFonts w:ascii="Verdana" w:eastAsia="Times New Roman" w:hAnsi="Verdana"/>
          <w:sz w:val="20"/>
          <w:szCs w:val="20"/>
          <w:shd w:val="clear" w:color="auto" w:fill="FFFFFF"/>
        </w:rPr>
        <w:t>poliarquia</w:t>
      </w:r>
      <w:proofErr w:type="spellEnd"/>
      <w:r w:rsidRPr="007D698A">
        <w:rPr>
          <w:rFonts w:ascii="Verdana" w:eastAsia="Times New Roman" w:hAnsi="Verdana"/>
          <w:sz w:val="20"/>
          <w:szCs w:val="20"/>
          <w:shd w:val="clear" w:color="auto" w:fill="FFFFFF"/>
        </w:rPr>
        <w:t xml:space="preserve">”, desenvolvido por Robert Dahl, nota-se sua estreita relação com o grau de satisfação dos critérios democráticos pelos governantes. Como o autor parte da premissa de que dificilmente as democracias serão plenamente participativas, a sugestão da categoria </w:t>
      </w:r>
      <w:proofErr w:type="spellStart"/>
      <w:r w:rsidRPr="007D698A">
        <w:rPr>
          <w:rFonts w:ascii="Verdana" w:eastAsia="Times New Roman" w:hAnsi="Verdana"/>
          <w:sz w:val="20"/>
          <w:szCs w:val="20"/>
          <w:shd w:val="clear" w:color="auto" w:fill="FFFFFF"/>
        </w:rPr>
        <w:t>poliarquia</w:t>
      </w:r>
      <w:proofErr w:type="spellEnd"/>
      <w:r w:rsidRPr="007D698A">
        <w:rPr>
          <w:rFonts w:ascii="Verdana" w:eastAsia="Times New Roman" w:hAnsi="Verdana"/>
          <w:sz w:val="20"/>
          <w:szCs w:val="20"/>
          <w:shd w:val="clear" w:color="auto" w:fill="FFFFFF"/>
          <w:vertAlign w:val="superscript"/>
        </w:rPr>
        <w:footnoteReference w:id="68"/>
      </w:r>
      <w:r w:rsidRPr="007D698A">
        <w:rPr>
          <w:rFonts w:ascii="Verdana" w:eastAsia="Times New Roman" w:hAnsi="Verdana"/>
          <w:sz w:val="20"/>
          <w:szCs w:val="20"/>
          <w:shd w:val="clear" w:color="auto" w:fill="FFFFFF"/>
        </w:rPr>
        <w:t xml:space="preserve"> surge como essencial para o processo democrático no governo de um grande sistema</w:t>
      </w:r>
      <w:r w:rsidRPr="007D698A">
        <w:rPr>
          <w:rFonts w:ascii="Verdana" w:eastAsia="Times New Roman" w:hAnsi="Verdana"/>
          <w:sz w:val="20"/>
          <w:szCs w:val="20"/>
          <w:shd w:val="clear" w:color="auto" w:fill="FFFFFF"/>
          <w:vertAlign w:val="superscript"/>
        </w:rPr>
        <w:footnoteReference w:id="69"/>
      </w:r>
      <w:r w:rsidRPr="007D698A">
        <w:rPr>
          <w:rFonts w:ascii="Verdana" w:eastAsia="Times New Roman" w:hAnsi="Verdana"/>
          <w:sz w:val="20"/>
          <w:szCs w:val="20"/>
          <w:shd w:val="clear" w:color="auto" w:fill="FFFFFF"/>
        </w:rPr>
        <w:t>.</w:t>
      </w:r>
    </w:p>
    <w:p w14:paraId="61633A8A" w14:textId="77777777" w:rsidR="007D698A" w:rsidRPr="007D698A" w:rsidRDefault="007D698A" w:rsidP="007D698A">
      <w:pPr>
        <w:spacing w:after="0" w:line="240" w:lineRule="auto"/>
        <w:ind w:firstLine="709"/>
        <w:jc w:val="both"/>
        <w:rPr>
          <w:rFonts w:ascii="Verdana" w:eastAsia="Times New Roman" w:hAnsi="Verdana"/>
          <w:sz w:val="20"/>
          <w:szCs w:val="20"/>
          <w:shd w:val="clear" w:color="auto" w:fill="FFFFFF"/>
        </w:rPr>
      </w:pPr>
      <w:r w:rsidRPr="007D698A">
        <w:rPr>
          <w:rFonts w:ascii="Verdana" w:eastAsia="Times New Roman" w:hAnsi="Verdana"/>
          <w:sz w:val="20"/>
          <w:szCs w:val="20"/>
          <w:shd w:val="clear" w:color="auto" w:fill="FFFFFF"/>
        </w:rPr>
        <w:t xml:space="preserve">Nessa linha de pensamento, Dahl trabalha com a perspectiva de que as sociedades que favorecem a </w:t>
      </w:r>
      <w:proofErr w:type="spellStart"/>
      <w:r w:rsidRPr="007D698A">
        <w:rPr>
          <w:rFonts w:ascii="Verdana" w:eastAsia="Times New Roman" w:hAnsi="Verdana"/>
          <w:sz w:val="20"/>
          <w:szCs w:val="20"/>
          <w:shd w:val="clear" w:color="auto" w:fill="FFFFFF"/>
        </w:rPr>
        <w:t>poliarquia</w:t>
      </w:r>
      <w:proofErr w:type="spellEnd"/>
      <w:r w:rsidRPr="007D698A">
        <w:rPr>
          <w:rFonts w:ascii="Verdana" w:eastAsia="Times New Roman" w:hAnsi="Verdana"/>
          <w:sz w:val="20"/>
          <w:szCs w:val="20"/>
          <w:shd w:val="clear" w:color="auto" w:fill="FFFFFF"/>
        </w:rPr>
        <w:t xml:space="preserve"> são caracterizadas por serem modernas, dinâmicas e pluralistas, no sentido de que dispersam o poder de uma única influência ou autoridade e o aproxima de uma variedade de indivíduos, grupos ou associações. Além disso, na sociedade </w:t>
      </w:r>
      <w:proofErr w:type="spellStart"/>
      <w:r w:rsidRPr="007D698A">
        <w:rPr>
          <w:rFonts w:ascii="Verdana" w:eastAsia="Times New Roman" w:hAnsi="Verdana"/>
          <w:sz w:val="20"/>
          <w:szCs w:val="20"/>
          <w:shd w:val="clear" w:color="auto" w:fill="FFFFFF"/>
        </w:rPr>
        <w:t>poliárquica</w:t>
      </w:r>
      <w:proofErr w:type="spellEnd"/>
      <w:r w:rsidRPr="007D698A">
        <w:rPr>
          <w:rFonts w:ascii="Verdana" w:eastAsia="Times New Roman" w:hAnsi="Verdana"/>
          <w:sz w:val="20"/>
          <w:szCs w:val="20"/>
          <w:shd w:val="clear" w:color="auto" w:fill="FFFFFF"/>
        </w:rPr>
        <w:t xml:space="preserve"> existe a promoção de convicções e ideias favoráveis à democracia</w:t>
      </w:r>
      <w:r w:rsidRPr="007D698A">
        <w:rPr>
          <w:rFonts w:ascii="Verdana" w:eastAsia="Times New Roman" w:hAnsi="Verdana"/>
          <w:sz w:val="20"/>
          <w:szCs w:val="20"/>
          <w:shd w:val="clear" w:color="auto" w:fill="FFFFFF"/>
          <w:vertAlign w:val="superscript"/>
        </w:rPr>
        <w:footnoteReference w:id="70"/>
      </w:r>
      <w:r w:rsidRPr="007D698A">
        <w:rPr>
          <w:rFonts w:ascii="Verdana" w:eastAsia="Times New Roman" w:hAnsi="Verdana"/>
          <w:sz w:val="20"/>
          <w:szCs w:val="20"/>
          <w:shd w:val="clear" w:color="auto" w:fill="FFFFFF"/>
        </w:rPr>
        <w:t xml:space="preserve">. Por isso, deve-se ter em conta que a </w:t>
      </w:r>
      <w:proofErr w:type="spellStart"/>
      <w:r w:rsidRPr="007D698A">
        <w:rPr>
          <w:rFonts w:ascii="Verdana" w:eastAsia="Times New Roman" w:hAnsi="Verdana"/>
          <w:sz w:val="20"/>
          <w:szCs w:val="20"/>
          <w:shd w:val="clear" w:color="auto" w:fill="FFFFFF"/>
        </w:rPr>
        <w:t>poliarquia</w:t>
      </w:r>
      <w:proofErr w:type="spellEnd"/>
      <w:r w:rsidRPr="007D698A">
        <w:rPr>
          <w:rFonts w:ascii="Verdana" w:eastAsia="Times New Roman" w:hAnsi="Verdana"/>
          <w:sz w:val="20"/>
          <w:szCs w:val="20"/>
          <w:shd w:val="clear" w:color="auto" w:fill="FFFFFF"/>
        </w:rPr>
        <w:t>, ao dispersar o poder entre uma série de atores, opera por uma lógica contrária à ideia da oligarquia que concentra o poder nas mãos de um pequeno e único poder.</w:t>
      </w:r>
    </w:p>
    <w:p w14:paraId="36C99A1F" w14:textId="77777777" w:rsidR="007D698A" w:rsidRPr="007D698A" w:rsidRDefault="007D698A" w:rsidP="007D698A">
      <w:pPr>
        <w:spacing w:after="0" w:line="240" w:lineRule="auto"/>
        <w:ind w:firstLine="709"/>
        <w:jc w:val="both"/>
        <w:rPr>
          <w:rFonts w:ascii="Verdana" w:eastAsia="Times New Roman" w:hAnsi="Verdana"/>
          <w:sz w:val="20"/>
          <w:szCs w:val="20"/>
        </w:rPr>
      </w:pPr>
      <w:r w:rsidRPr="007D698A">
        <w:rPr>
          <w:rFonts w:ascii="Verdana" w:eastAsia="Times New Roman" w:hAnsi="Verdana"/>
          <w:sz w:val="20"/>
          <w:szCs w:val="20"/>
        </w:rPr>
        <w:t xml:space="preserve">Diante de tudo isso, percorrendo as categorias da democracia, oligarquia e </w:t>
      </w:r>
      <w:proofErr w:type="spellStart"/>
      <w:r w:rsidRPr="007D698A">
        <w:rPr>
          <w:rFonts w:ascii="Verdana" w:eastAsia="Times New Roman" w:hAnsi="Verdana"/>
          <w:sz w:val="20"/>
          <w:szCs w:val="20"/>
        </w:rPr>
        <w:t>poliarquia</w:t>
      </w:r>
      <w:proofErr w:type="spellEnd"/>
      <w:r w:rsidRPr="007D698A">
        <w:rPr>
          <w:rFonts w:ascii="Verdana" w:eastAsia="Times New Roman" w:hAnsi="Verdana"/>
          <w:sz w:val="20"/>
          <w:szCs w:val="20"/>
        </w:rPr>
        <w:t xml:space="preserve"> pode-se aduzir que, de certo modo, todas essas construções são necessárias, justamente porque, historicamente, o constitucionalismo se incumbiu da missão de controlar o exercer do poder estatal. Contudo, o projeto da modernidade não desenvolveu técnicas e instrumentos com o mesmo fim para o controle das organizações privadas que circulam, cada vez mais, pelo Estado e, para além dele. Daí decorre, essencialmente, a incapacidade do direito e das instituições estatais em conter o poder privado que atua com protagonismo em diversas searas que, anteriormente ao desencadeamento dos processos complexos da globalização, eram exclusivas do Estado.</w:t>
      </w:r>
    </w:p>
    <w:p w14:paraId="6F2A76DE" w14:textId="77777777" w:rsidR="007D698A" w:rsidRPr="007D698A" w:rsidRDefault="007D698A" w:rsidP="007D698A">
      <w:pPr>
        <w:spacing w:after="0" w:line="240" w:lineRule="auto"/>
        <w:jc w:val="both"/>
        <w:rPr>
          <w:rFonts w:ascii="Verdana" w:eastAsia="Times New Roman" w:hAnsi="Verdana"/>
          <w:color w:val="4F81BD"/>
          <w:sz w:val="20"/>
          <w:szCs w:val="20"/>
        </w:rPr>
      </w:pPr>
    </w:p>
    <w:p w14:paraId="4B1F1A29" w14:textId="08D68892" w:rsidR="007D698A" w:rsidRPr="007D698A" w:rsidRDefault="007D698A" w:rsidP="007D698A">
      <w:pPr>
        <w:spacing w:after="0" w:line="240" w:lineRule="auto"/>
        <w:jc w:val="both"/>
        <w:rPr>
          <w:rFonts w:ascii="Verdana" w:eastAsia="Times New Roman" w:hAnsi="Verdana"/>
          <w:b/>
          <w:sz w:val="20"/>
          <w:szCs w:val="20"/>
        </w:rPr>
      </w:pPr>
      <w:r w:rsidRPr="007D698A">
        <w:rPr>
          <w:rFonts w:ascii="Verdana" w:eastAsia="Times New Roman" w:hAnsi="Verdana"/>
          <w:b/>
          <w:sz w:val="20"/>
          <w:szCs w:val="20"/>
        </w:rPr>
        <w:t xml:space="preserve">5 </w:t>
      </w:r>
      <w:r w:rsidR="00A260CE" w:rsidRPr="007D698A">
        <w:rPr>
          <w:rFonts w:ascii="Verdana" w:eastAsia="Times New Roman" w:hAnsi="Verdana"/>
          <w:b/>
          <w:sz w:val="20"/>
          <w:szCs w:val="20"/>
        </w:rPr>
        <w:t>Conclusão</w:t>
      </w:r>
    </w:p>
    <w:p w14:paraId="033B65F3" w14:textId="77777777" w:rsidR="007D698A" w:rsidRPr="007D698A" w:rsidRDefault="007D698A" w:rsidP="007D698A">
      <w:pPr>
        <w:spacing w:after="0" w:line="240" w:lineRule="auto"/>
        <w:ind w:firstLine="709"/>
        <w:jc w:val="both"/>
        <w:rPr>
          <w:rFonts w:ascii="Verdana" w:eastAsia="Times New Roman" w:hAnsi="Verdana"/>
          <w:b/>
          <w:sz w:val="20"/>
          <w:szCs w:val="20"/>
        </w:rPr>
      </w:pPr>
    </w:p>
    <w:p w14:paraId="18C2C098" w14:textId="77777777" w:rsidR="007D698A" w:rsidRPr="007D698A" w:rsidRDefault="007D698A" w:rsidP="007D698A">
      <w:pPr>
        <w:spacing w:after="0" w:line="240" w:lineRule="auto"/>
        <w:ind w:firstLine="709"/>
        <w:jc w:val="both"/>
        <w:rPr>
          <w:rFonts w:ascii="Verdana" w:eastAsia="Times New Roman" w:hAnsi="Verdana"/>
          <w:sz w:val="20"/>
          <w:szCs w:val="20"/>
        </w:rPr>
      </w:pPr>
      <w:r w:rsidRPr="007D698A">
        <w:rPr>
          <w:rFonts w:ascii="Verdana" w:eastAsia="Times New Roman" w:hAnsi="Verdana"/>
          <w:sz w:val="20"/>
          <w:szCs w:val="20"/>
        </w:rPr>
        <w:t xml:space="preserve">Os fundamentos abordados no decorrer deste trabalho apontam que, assim como a globalização surge para desafiar o funcionamento do Estado, os atores privados e seu protagonismo operam como ameaça à democracia. Nesse sentido, o </w:t>
      </w:r>
      <w:r w:rsidRPr="007D698A">
        <w:rPr>
          <w:rFonts w:ascii="Verdana" w:eastAsia="Times New Roman" w:hAnsi="Verdana"/>
          <w:sz w:val="20"/>
          <w:szCs w:val="20"/>
        </w:rPr>
        <w:lastRenderedPageBreak/>
        <w:t xml:space="preserve">momento de crise vivenciado pelo enfraquecimento da soberania dos Estados encontra um ponto de intersecção com a crise democrática, pelo fato de que a ausência de controle e atuação estatal em torno de determinações dos atores privados que, na maioria das vezes, agem solapando os direitos fundamentais dos cidadãos, faz com que o poder estatal deixe de cumprir com sua função </w:t>
      </w:r>
      <w:proofErr w:type="spellStart"/>
      <w:r w:rsidRPr="007D698A">
        <w:rPr>
          <w:rFonts w:ascii="Verdana" w:eastAsia="Times New Roman" w:hAnsi="Verdana"/>
          <w:sz w:val="20"/>
          <w:szCs w:val="20"/>
        </w:rPr>
        <w:t>garantista</w:t>
      </w:r>
      <w:proofErr w:type="spellEnd"/>
      <w:r w:rsidRPr="007D698A">
        <w:rPr>
          <w:rFonts w:ascii="Verdana" w:eastAsia="Times New Roman" w:hAnsi="Verdana"/>
          <w:sz w:val="20"/>
          <w:szCs w:val="20"/>
        </w:rPr>
        <w:t xml:space="preserve"> estabelecida pela Constituição.</w:t>
      </w:r>
    </w:p>
    <w:p w14:paraId="02634C3C" w14:textId="77777777" w:rsidR="007D698A" w:rsidRPr="007D698A" w:rsidRDefault="007D698A" w:rsidP="007D698A">
      <w:pPr>
        <w:spacing w:after="0" w:line="240" w:lineRule="auto"/>
        <w:ind w:firstLine="709"/>
        <w:jc w:val="both"/>
        <w:rPr>
          <w:rFonts w:ascii="Verdana" w:eastAsia="Times New Roman" w:hAnsi="Verdana"/>
          <w:sz w:val="20"/>
          <w:szCs w:val="20"/>
        </w:rPr>
      </w:pPr>
      <w:r w:rsidRPr="007D698A">
        <w:rPr>
          <w:rFonts w:ascii="Verdana" w:eastAsia="Times New Roman" w:hAnsi="Verdana"/>
          <w:sz w:val="20"/>
          <w:szCs w:val="20"/>
        </w:rPr>
        <w:t xml:space="preserve">Se, por um lado, o Estado se encontra em crise pelo seu projeto moderno não ter articulado meios capazes de controlar o poder de atores privados em esferas eminentemente públicas até pouco tempo, por outro, a população atingida pela ausência de prestações de cunho social se vê cada vez mais </w:t>
      </w:r>
      <w:proofErr w:type="spellStart"/>
      <w:r w:rsidRPr="007D698A">
        <w:rPr>
          <w:rFonts w:ascii="Verdana" w:eastAsia="Times New Roman" w:hAnsi="Verdana"/>
          <w:sz w:val="20"/>
          <w:szCs w:val="20"/>
        </w:rPr>
        <w:t>vulnerabilizada</w:t>
      </w:r>
      <w:proofErr w:type="spellEnd"/>
      <w:r w:rsidRPr="007D698A">
        <w:rPr>
          <w:rFonts w:ascii="Verdana" w:eastAsia="Times New Roman" w:hAnsi="Verdana"/>
          <w:sz w:val="20"/>
          <w:szCs w:val="20"/>
        </w:rPr>
        <w:t>, em uma sociedade globalizada em que o poder econômico exerce, em grande escala e em todas as esferas, seu poder.</w:t>
      </w:r>
    </w:p>
    <w:p w14:paraId="36704914" w14:textId="77777777" w:rsidR="007D698A" w:rsidRPr="007D698A" w:rsidRDefault="007D698A" w:rsidP="007D698A">
      <w:pPr>
        <w:spacing w:after="0" w:line="240" w:lineRule="auto"/>
        <w:ind w:firstLine="709"/>
        <w:jc w:val="both"/>
        <w:rPr>
          <w:rFonts w:ascii="Verdana" w:eastAsia="Times New Roman" w:hAnsi="Verdana"/>
          <w:sz w:val="20"/>
          <w:szCs w:val="20"/>
        </w:rPr>
      </w:pPr>
      <w:r w:rsidRPr="007D698A">
        <w:rPr>
          <w:rFonts w:ascii="Verdana" w:eastAsia="Times New Roman" w:hAnsi="Verdana"/>
          <w:sz w:val="20"/>
          <w:szCs w:val="20"/>
        </w:rPr>
        <w:t xml:space="preserve">De todo modo, considerando-se que a presente pesquisa se preocupou em detalhar como a emergência e protagonismo de atores privados impacta às instituições democráticas, é importante recordar que o estudo de categorias como a plutocracia mundial, a oligarquia e a </w:t>
      </w:r>
      <w:proofErr w:type="spellStart"/>
      <w:r w:rsidRPr="007D698A">
        <w:rPr>
          <w:rFonts w:ascii="Verdana" w:eastAsia="Times New Roman" w:hAnsi="Verdana"/>
          <w:sz w:val="20"/>
          <w:szCs w:val="20"/>
        </w:rPr>
        <w:t>poliarquia</w:t>
      </w:r>
      <w:proofErr w:type="spellEnd"/>
      <w:r w:rsidRPr="007D698A">
        <w:rPr>
          <w:rFonts w:ascii="Verdana" w:eastAsia="Times New Roman" w:hAnsi="Verdana"/>
          <w:sz w:val="20"/>
          <w:szCs w:val="20"/>
        </w:rPr>
        <w:t xml:space="preserve"> são relevantes para (</w:t>
      </w:r>
      <w:proofErr w:type="spellStart"/>
      <w:proofErr w:type="gramStart"/>
      <w:r w:rsidRPr="007D698A">
        <w:rPr>
          <w:rFonts w:ascii="Verdana" w:eastAsia="Times New Roman" w:hAnsi="Verdana"/>
          <w:sz w:val="20"/>
          <w:szCs w:val="20"/>
        </w:rPr>
        <w:t>re</w:t>
      </w:r>
      <w:proofErr w:type="spellEnd"/>
      <w:r w:rsidRPr="007D698A">
        <w:rPr>
          <w:rFonts w:ascii="Verdana" w:eastAsia="Times New Roman" w:hAnsi="Verdana"/>
          <w:sz w:val="20"/>
          <w:szCs w:val="20"/>
        </w:rPr>
        <w:t>)pensar</w:t>
      </w:r>
      <w:proofErr w:type="gramEnd"/>
      <w:r w:rsidRPr="007D698A">
        <w:rPr>
          <w:rFonts w:ascii="Verdana" w:eastAsia="Times New Roman" w:hAnsi="Verdana"/>
          <w:sz w:val="20"/>
          <w:szCs w:val="20"/>
        </w:rPr>
        <w:t xml:space="preserve"> a democracia e o Estado, visto que, conforme demonstrado no decorrer do texto, ambos estão em crise, desde o advento do processo de globalização.</w:t>
      </w:r>
    </w:p>
    <w:p w14:paraId="0CB04F59" w14:textId="77777777" w:rsidR="007D698A" w:rsidRPr="007D698A" w:rsidRDefault="007D698A" w:rsidP="007D698A">
      <w:pPr>
        <w:spacing w:after="0" w:line="240" w:lineRule="auto"/>
        <w:ind w:firstLine="709"/>
        <w:jc w:val="both"/>
        <w:rPr>
          <w:rFonts w:ascii="Verdana" w:eastAsia="Times New Roman" w:hAnsi="Verdana"/>
          <w:sz w:val="20"/>
          <w:szCs w:val="20"/>
        </w:rPr>
      </w:pPr>
      <w:r w:rsidRPr="007D698A">
        <w:rPr>
          <w:rFonts w:ascii="Verdana" w:eastAsia="Times New Roman" w:hAnsi="Verdana"/>
          <w:sz w:val="20"/>
          <w:szCs w:val="20"/>
        </w:rPr>
        <w:t>Ao final, conclui-se que a hipótese de pesquisa fora corroborada, pois se evidenciou como o avanço do fenômeno da globalização e o surgimento de atores privados resultou</w:t>
      </w:r>
      <w:bookmarkStart w:id="4" w:name="_GoBack"/>
      <w:bookmarkEnd w:id="4"/>
      <w:r w:rsidRPr="007D698A">
        <w:rPr>
          <w:rFonts w:ascii="Verdana" w:eastAsia="Times New Roman" w:hAnsi="Verdana"/>
          <w:sz w:val="20"/>
          <w:szCs w:val="20"/>
        </w:rPr>
        <w:t xml:space="preserve"> em um cenário de crise, no qual o papel normativo do direito estatal é esvaziado pela “perda” de soberania do Estado, principalmente no que diz respeito a sua autonomia de decisão.  Nessa perspectiva, consoante ao que restou demonstrado, a influência e o protagonismo dos atores privados impacta negativamente às instituições democráticas, na medida em que a sobreposição dos poderes econômicos e financeiros sobre os poderes públicos resulta prejuízos à garantia dos direitos fundamentais dos cidadãos, assim como enfraquece a democracia.</w:t>
      </w:r>
    </w:p>
    <w:p w14:paraId="62E0D3F5" w14:textId="77777777" w:rsidR="007D698A" w:rsidRPr="007D698A" w:rsidRDefault="007D698A" w:rsidP="007D698A">
      <w:pPr>
        <w:spacing w:after="0" w:line="240" w:lineRule="auto"/>
        <w:ind w:firstLine="709"/>
        <w:jc w:val="both"/>
        <w:rPr>
          <w:rFonts w:ascii="Verdana" w:eastAsia="Times New Roman" w:hAnsi="Verdana"/>
          <w:sz w:val="20"/>
          <w:szCs w:val="20"/>
        </w:rPr>
      </w:pPr>
    </w:p>
    <w:p w14:paraId="66305AE8" w14:textId="77777777" w:rsidR="007D698A" w:rsidRPr="007D698A" w:rsidRDefault="007D698A" w:rsidP="007D698A">
      <w:pPr>
        <w:spacing w:after="0" w:line="240" w:lineRule="auto"/>
        <w:jc w:val="both"/>
        <w:rPr>
          <w:rFonts w:ascii="Verdana" w:eastAsia="Times New Roman" w:hAnsi="Verdana"/>
          <w:b/>
          <w:sz w:val="20"/>
          <w:szCs w:val="20"/>
        </w:rPr>
      </w:pPr>
    </w:p>
    <w:p w14:paraId="681C6E9D" w14:textId="592B048E" w:rsidR="007D698A" w:rsidRPr="007D698A" w:rsidRDefault="00A260CE" w:rsidP="007D698A">
      <w:pPr>
        <w:spacing w:after="0" w:line="240" w:lineRule="auto"/>
        <w:jc w:val="both"/>
        <w:rPr>
          <w:rFonts w:ascii="Verdana" w:eastAsia="Times New Roman" w:hAnsi="Verdana"/>
          <w:b/>
          <w:sz w:val="20"/>
          <w:szCs w:val="20"/>
        </w:rPr>
      </w:pPr>
      <w:r>
        <w:rPr>
          <w:rFonts w:ascii="Verdana" w:eastAsia="Times New Roman" w:hAnsi="Verdana"/>
          <w:b/>
          <w:sz w:val="20"/>
          <w:szCs w:val="20"/>
        </w:rPr>
        <w:t xml:space="preserve">6 </w:t>
      </w:r>
      <w:r w:rsidRPr="007D698A">
        <w:rPr>
          <w:rFonts w:ascii="Verdana" w:eastAsia="Times New Roman" w:hAnsi="Verdana"/>
          <w:b/>
          <w:sz w:val="20"/>
          <w:szCs w:val="20"/>
        </w:rPr>
        <w:t>Referências</w:t>
      </w:r>
    </w:p>
    <w:p w14:paraId="25CC724D" w14:textId="77777777" w:rsidR="007D698A" w:rsidRPr="007D698A" w:rsidRDefault="007D698A" w:rsidP="007D698A">
      <w:pPr>
        <w:spacing w:after="0" w:line="240" w:lineRule="auto"/>
        <w:jc w:val="both"/>
        <w:rPr>
          <w:rFonts w:ascii="Verdana" w:eastAsia="Times New Roman" w:hAnsi="Verdana"/>
          <w:b/>
          <w:sz w:val="20"/>
          <w:szCs w:val="20"/>
        </w:rPr>
      </w:pPr>
    </w:p>
    <w:p w14:paraId="2F49B1B7" w14:textId="77777777" w:rsidR="007D698A" w:rsidRPr="007D698A" w:rsidRDefault="007D698A" w:rsidP="007D698A">
      <w:pPr>
        <w:autoSpaceDE w:val="0"/>
        <w:autoSpaceDN w:val="0"/>
        <w:adjustRightInd w:val="0"/>
        <w:spacing w:after="0" w:line="240" w:lineRule="auto"/>
        <w:ind w:hanging="284"/>
        <w:jc w:val="both"/>
        <w:rPr>
          <w:rFonts w:ascii="Verdana" w:eastAsia="Times New Roman" w:hAnsi="Verdana"/>
          <w:sz w:val="20"/>
          <w:szCs w:val="20"/>
        </w:rPr>
      </w:pPr>
      <w:bookmarkStart w:id="5" w:name="_Hlk58504613"/>
      <w:r w:rsidRPr="007D698A">
        <w:rPr>
          <w:rFonts w:ascii="Verdana" w:eastAsia="Times New Roman" w:hAnsi="Verdana"/>
          <w:sz w:val="20"/>
          <w:szCs w:val="20"/>
        </w:rPr>
        <w:t xml:space="preserve">ARNAUD, A. </w:t>
      </w:r>
      <w:r w:rsidRPr="007D698A">
        <w:rPr>
          <w:rFonts w:ascii="Verdana" w:eastAsia="Times New Roman" w:hAnsi="Verdana"/>
          <w:bCs/>
          <w:i/>
          <w:iCs/>
          <w:sz w:val="20"/>
          <w:szCs w:val="20"/>
        </w:rPr>
        <w:t>Governar sem fronteiras</w:t>
      </w:r>
      <w:r w:rsidRPr="007D698A">
        <w:rPr>
          <w:rFonts w:ascii="Verdana" w:eastAsia="Times New Roman" w:hAnsi="Verdana"/>
          <w:i/>
          <w:iCs/>
          <w:sz w:val="20"/>
          <w:szCs w:val="20"/>
        </w:rPr>
        <w:t>: entre globalização e pós globalização</w:t>
      </w:r>
      <w:r w:rsidRPr="007D698A">
        <w:rPr>
          <w:rFonts w:ascii="Verdana" w:eastAsia="Times New Roman" w:hAnsi="Verdana"/>
          <w:sz w:val="20"/>
          <w:szCs w:val="20"/>
        </w:rPr>
        <w:t xml:space="preserve">, Ed. </w:t>
      </w:r>
      <w:proofErr w:type="spellStart"/>
      <w:r w:rsidRPr="007D698A">
        <w:rPr>
          <w:rFonts w:ascii="Verdana" w:eastAsia="Times New Roman" w:hAnsi="Verdana"/>
          <w:sz w:val="20"/>
          <w:szCs w:val="20"/>
        </w:rPr>
        <w:t>Lumen</w:t>
      </w:r>
      <w:proofErr w:type="spellEnd"/>
      <w:r w:rsidRPr="007D698A">
        <w:rPr>
          <w:rFonts w:ascii="Verdana" w:eastAsia="Times New Roman" w:hAnsi="Verdana"/>
          <w:sz w:val="20"/>
          <w:szCs w:val="20"/>
        </w:rPr>
        <w:t xml:space="preserve"> Juris, Rio de Janeiro, 2007.</w:t>
      </w:r>
    </w:p>
    <w:bookmarkEnd w:id="5"/>
    <w:p w14:paraId="393386BB" w14:textId="77777777" w:rsidR="007D698A" w:rsidRPr="007D698A" w:rsidRDefault="007D698A" w:rsidP="007D698A">
      <w:pPr>
        <w:autoSpaceDE w:val="0"/>
        <w:autoSpaceDN w:val="0"/>
        <w:adjustRightInd w:val="0"/>
        <w:spacing w:after="0" w:line="240" w:lineRule="auto"/>
        <w:ind w:hanging="284"/>
        <w:jc w:val="both"/>
        <w:rPr>
          <w:rFonts w:ascii="Verdana" w:eastAsia="Times New Roman" w:hAnsi="Verdana"/>
          <w:sz w:val="20"/>
          <w:szCs w:val="20"/>
        </w:rPr>
      </w:pPr>
    </w:p>
    <w:p w14:paraId="08C49831" w14:textId="77777777" w:rsidR="007D698A" w:rsidRPr="007D698A" w:rsidRDefault="007D698A" w:rsidP="007D698A">
      <w:pPr>
        <w:autoSpaceDE w:val="0"/>
        <w:autoSpaceDN w:val="0"/>
        <w:adjustRightInd w:val="0"/>
        <w:spacing w:after="0" w:line="240" w:lineRule="auto"/>
        <w:ind w:hanging="284"/>
        <w:jc w:val="both"/>
        <w:rPr>
          <w:rFonts w:ascii="Verdana" w:eastAsia="Times New Roman" w:hAnsi="Verdana"/>
          <w:sz w:val="20"/>
          <w:szCs w:val="20"/>
        </w:rPr>
      </w:pPr>
      <w:r w:rsidRPr="007D698A">
        <w:rPr>
          <w:rFonts w:ascii="Verdana" w:eastAsia="Times New Roman" w:hAnsi="Verdana"/>
          <w:sz w:val="20"/>
          <w:szCs w:val="20"/>
        </w:rPr>
        <w:t xml:space="preserve">BOBBIO, N. </w:t>
      </w:r>
      <w:r w:rsidRPr="007D698A">
        <w:rPr>
          <w:rFonts w:ascii="Verdana" w:eastAsia="Times New Roman" w:hAnsi="Verdana"/>
          <w:i/>
          <w:iCs/>
          <w:sz w:val="20"/>
          <w:szCs w:val="20"/>
        </w:rPr>
        <w:t>O futuro da democracia</w:t>
      </w:r>
      <w:r w:rsidRPr="007D698A">
        <w:rPr>
          <w:rFonts w:ascii="Verdana" w:eastAsia="Times New Roman" w:hAnsi="Verdana"/>
          <w:sz w:val="20"/>
          <w:szCs w:val="20"/>
        </w:rPr>
        <w:t>. Trad. NOGUEIRA, M.A, Ed. Paz e Terra, São Paulo, 2000.</w:t>
      </w:r>
    </w:p>
    <w:p w14:paraId="790F449F" w14:textId="77777777" w:rsidR="007D698A" w:rsidRPr="007D698A" w:rsidRDefault="007D698A" w:rsidP="007D698A">
      <w:pPr>
        <w:spacing w:after="0" w:line="240" w:lineRule="auto"/>
        <w:ind w:hanging="284"/>
        <w:jc w:val="both"/>
        <w:rPr>
          <w:rFonts w:ascii="Verdana" w:eastAsia="Times New Roman" w:hAnsi="Verdana"/>
          <w:sz w:val="20"/>
          <w:szCs w:val="20"/>
        </w:rPr>
      </w:pPr>
    </w:p>
    <w:p w14:paraId="59C88A23" w14:textId="77777777" w:rsidR="007D698A" w:rsidRPr="007D698A" w:rsidRDefault="007D698A" w:rsidP="007D698A">
      <w:pPr>
        <w:spacing w:after="0" w:line="240" w:lineRule="auto"/>
        <w:ind w:hanging="284"/>
        <w:jc w:val="both"/>
        <w:rPr>
          <w:rFonts w:ascii="Verdana" w:eastAsia="Times New Roman" w:hAnsi="Verdana"/>
          <w:sz w:val="20"/>
          <w:szCs w:val="20"/>
        </w:rPr>
      </w:pPr>
      <w:r w:rsidRPr="007D698A">
        <w:rPr>
          <w:rFonts w:ascii="Verdana" w:eastAsia="Times New Roman" w:hAnsi="Verdana"/>
          <w:sz w:val="20"/>
          <w:szCs w:val="20"/>
        </w:rPr>
        <w:t xml:space="preserve">BOBBIO, N.; MATTEUCCI, N.; PASQUINO, G. </w:t>
      </w:r>
      <w:r w:rsidRPr="007D698A">
        <w:rPr>
          <w:rFonts w:ascii="Verdana" w:eastAsia="Times New Roman" w:hAnsi="Verdana"/>
          <w:bCs/>
          <w:i/>
          <w:iCs/>
          <w:sz w:val="20"/>
          <w:szCs w:val="20"/>
        </w:rPr>
        <w:t>Dicionário de Política</w:t>
      </w:r>
      <w:r w:rsidRPr="007D698A">
        <w:rPr>
          <w:rFonts w:ascii="Verdana" w:eastAsia="Times New Roman" w:hAnsi="Verdana"/>
          <w:sz w:val="20"/>
          <w:szCs w:val="20"/>
        </w:rPr>
        <w:t>. 11. ed., Ed. Universidade de Brasília, Brasília, 1998.</w:t>
      </w:r>
    </w:p>
    <w:p w14:paraId="7D683CA6" w14:textId="77777777" w:rsidR="007D698A" w:rsidRPr="007D698A" w:rsidRDefault="007D698A" w:rsidP="007D698A">
      <w:pPr>
        <w:spacing w:after="0" w:line="240" w:lineRule="auto"/>
        <w:ind w:hanging="284"/>
        <w:jc w:val="both"/>
        <w:rPr>
          <w:rFonts w:ascii="Verdana" w:eastAsia="Times New Roman" w:hAnsi="Verdana"/>
          <w:color w:val="0000FF"/>
          <w:sz w:val="20"/>
          <w:szCs w:val="20"/>
          <w:u w:val="single"/>
        </w:rPr>
      </w:pPr>
    </w:p>
    <w:p w14:paraId="22EBA7A4" w14:textId="77777777" w:rsidR="007D698A" w:rsidRPr="007D698A" w:rsidRDefault="007D698A" w:rsidP="007D698A">
      <w:pPr>
        <w:spacing w:after="0" w:line="240" w:lineRule="auto"/>
        <w:ind w:hanging="284"/>
        <w:jc w:val="both"/>
        <w:rPr>
          <w:rFonts w:ascii="Verdana" w:eastAsia="Times New Roman" w:hAnsi="Verdana"/>
          <w:sz w:val="20"/>
          <w:szCs w:val="20"/>
        </w:rPr>
      </w:pPr>
      <w:r w:rsidRPr="007D698A">
        <w:rPr>
          <w:rFonts w:ascii="Verdana" w:eastAsia="Times New Roman" w:hAnsi="Verdana"/>
          <w:sz w:val="20"/>
          <w:szCs w:val="20"/>
        </w:rPr>
        <w:t xml:space="preserve">BRASIL. Senado Federal. </w:t>
      </w:r>
      <w:r w:rsidRPr="007D698A">
        <w:rPr>
          <w:rFonts w:ascii="Verdana" w:eastAsia="Times New Roman" w:hAnsi="Verdana"/>
          <w:bCs/>
          <w:i/>
          <w:iCs/>
          <w:sz w:val="20"/>
          <w:szCs w:val="20"/>
        </w:rPr>
        <w:t>Abstenção nas eleições</w:t>
      </w:r>
      <w:r w:rsidRPr="007D698A">
        <w:rPr>
          <w:rFonts w:ascii="Verdana" w:eastAsia="Times New Roman" w:hAnsi="Verdana"/>
          <w:i/>
          <w:iCs/>
          <w:sz w:val="20"/>
          <w:szCs w:val="20"/>
        </w:rPr>
        <w:t xml:space="preserve">: 31,3 milhões de eleitores não compareceram às urnas, </w:t>
      </w:r>
      <w:r w:rsidRPr="007D698A">
        <w:rPr>
          <w:rFonts w:ascii="Verdana" w:eastAsia="Times New Roman" w:hAnsi="Verdana"/>
          <w:sz w:val="20"/>
          <w:szCs w:val="20"/>
        </w:rPr>
        <w:t>2019. Disponível em: &lt;https://www12.senado.leg.br/noticias/videos /2018/10/abstencao-nas-eleicoes-31-3-milhoes-de-eleitores-nao-compareceram-as-urnas&gt;. Acesso em: 08 dez. 2020.</w:t>
      </w:r>
    </w:p>
    <w:p w14:paraId="458AF174" w14:textId="77777777" w:rsidR="007D698A" w:rsidRPr="007D698A" w:rsidRDefault="007D698A" w:rsidP="007D698A">
      <w:pPr>
        <w:spacing w:after="0" w:line="240" w:lineRule="auto"/>
        <w:ind w:hanging="284"/>
        <w:jc w:val="both"/>
        <w:rPr>
          <w:rFonts w:ascii="Verdana" w:eastAsia="Times New Roman" w:hAnsi="Verdana"/>
          <w:sz w:val="20"/>
          <w:szCs w:val="20"/>
        </w:rPr>
      </w:pPr>
    </w:p>
    <w:p w14:paraId="7E5DD5CA" w14:textId="77777777" w:rsidR="007D698A" w:rsidRPr="007D698A" w:rsidRDefault="007D698A" w:rsidP="007D698A">
      <w:pPr>
        <w:spacing w:after="0" w:line="240" w:lineRule="auto"/>
        <w:ind w:hanging="284"/>
        <w:jc w:val="both"/>
        <w:rPr>
          <w:rFonts w:ascii="Verdana" w:eastAsia="Times New Roman" w:hAnsi="Verdana"/>
          <w:sz w:val="20"/>
          <w:szCs w:val="20"/>
        </w:rPr>
      </w:pPr>
      <w:r w:rsidRPr="007D698A">
        <w:rPr>
          <w:rFonts w:ascii="Verdana" w:eastAsia="Times New Roman" w:hAnsi="Verdana"/>
          <w:sz w:val="20"/>
          <w:szCs w:val="20"/>
        </w:rPr>
        <w:t xml:space="preserve">COMITÊ POPULAR DA COPA. </w:t>
      </w:r>
      <w:r w:rsidRPr="007D698A">
        <w:rPr>
          <w:rFonts w:ascii="Verdana" w:eastAsia="Times New Roman" w:hAnsi="Verdana"/>
          <w:bCs/>
          <w:i/>
          <w:iCs/>
          <w:sz w:val="20"/>
          <w:szCs w:val="20"/>
        </w:rPr>
        <w:t>Copa do Mundo FIFA 2014 e as violações de Direitos Humanos em Porto Alegre,</w:t>
      </w:r>
      <w:r w:rsidRPr="007D698A">
        <w:rPr>
          <w:rFonts w:ascii="Verdana" w:eastAsia="Times New Roman" w:hAnsi="Verdana"/>
          <w:sz w:val="20"/>
          <w:szCs w:val="20"/>
        </w:rPr>
        <w:t xml:space="preserve"> 2018. Disponível em: &lt;https://br.boell.org /sites/default/files/dossie_copa_poa_bollbrasil.pdf&gt;. Acesso em: 05 dez. 2020.</w:t>
      </w:r>
    </w:p>
    <w:p w14:paraId="70DFA0BD" w14:textId="77777777" w:rsidR="007D698A" w:rsidRPr="007D698A" w:rsidRDefault="007D698A" w:rsidP="007D698A">
      <w:pPr>
        <w:spacing w:after="0" w:line="240" w:lineRule="auto"/>
        <w:ind w:hanging="284"/>
        <w:jc w:val="both"/>
        <w:rPr>
          <w:rFonts w:ascii="Verdana" w:eastAsia="Times New Roman" w:hAnsi="Verdana"/>
          <w:sz w:val="20"/>
          <w:szCs w:val="20"/>
        </w:rPr>
      </w:pPr>
    </w:p>
    <w:p w14:paraId="4E266453" w14:textId="77777777" w:rsidR="007D698A" w:rsidRPr="007D698A" w:rsidRDefault="007D698A" w:rsidP="007D698A">
      <w:pPr>
        <w:spacing w:after="0" w:line="240" w:lineRule="auto"/>
        <w:ind w:hanging="284"/>
        <w:jc w:val="both"/>
        <w:rPr>
          <w:rFonts w:ascii="Verdana" w:eastAsia="Times New Roman" w:hAnsi="Verdana"/>
          <w:sz w:val="20"/>
          <w:szCs w:val="20"/>
        </w:rPr>
      </w:pPr>
      <w:bookmarkStart w:id="6" w:name="_Hlk58505592"/>
      <w:r w:rsidRPr="007D698A">
        <w:rPr>
          <w:rFonts w:ascii="Verdana" w:eastAsia="Times New Roman" w:hAnsi="Verdana"/>
          <w:sz w:val="20"/>
          <w:szCs w:val="20"/>
        </w:rPr>
        <w:t>CRUZ, P. M.; OLIVIERO, M</w:t>
      </w:r>
      <w:r w:rsidRPr="007D698A">
        <w:rPr>
          <w:rFonts w:ascii="Verdana" w:eastAsia="Times New Roman" w:hAnsi="Verdana"/>
          <w:b/>
          <w:sz w:val="20"/>
          <w:szCs w:val="20"/>
        </w:rPr>
        <w:t>. “</w:t>
      </w:r>
      <w:r w:rsidRPr="007D698A">
        <w:rPr>
          <w:rFonts w:ascii="Verdana" w:eastAsia="Times New Roman" w:hAnsi="Verdana"/>
          <w:sz w:val="20"/>
          <w:szCs w:val="20"/>
        </w:rPr>
        <w:t xml:space="preserve">Fundamentos de Direito Transnacional”, in </w:t>
      </w:r>
      <w:r w:rsidRPr="007D698A">
        <w:rPr>
          <w:rFonts w:ascii="Verdana" w:eastAsia="Times New Roman" w:hAnsi="Verdana"/>
          <w:i/>
          <w:iCs/>
          <w:sz w:val="20"/>
          <w:szCs w:val="20"/>
        </w:rPr>
        <w:t xml:space="preserve">Direito Global: </w:t>
      </w:r>
      <w:proofErr w:type="spellStart"/>
      <w:r w:rsidRPr="007D698A">
        <w:rPr>
          <w:rFonts w:ascii="Verdana" w:eastAsia="Times New Roman" w:hAnsi="Verdana"/>
          <w:i/>
          <w:iCs/>
          <w:sz w:val="20"/>
          <w:szCs w:val="20"/>
        </w:rPr>
        <w:t>Transnacionalidade</w:t>
      </w:r>
      <w:proofErr w:type="spellEnd"/>
      <w:r w:rsidRPr="007D698A">
        <w:rPr>
          <w:rFonts w:ascii="Verdana" w:eastAsia="Times New Roman" w:hAnsi="Verdana"/>
          <w:i/>
          <w:iCs/>
          <w:sz w:val="20"/>
          <w:szCs w:val="20"/>
        </w:rPr>
        <w:t xml:space="preserve"> e Globalização Jurídica</w:t>
      </w:r>
      <w:r w:rsidRPr="007D698A">
        <w:rPr>
          <w:rFonts w:ascii="Verdana" w:eastAsia="Times New Roman" w:hAnsi="Verdana"/>
          <w:sz w:val="20"/>
          <w:szCs w:val="20"/>
        </w:rPr>
        <w:t xml:space="preserve"> (MORAIS DA ROSA, A.; STAFFEN, M.R.), </w:t>
      </w:r>
      <w:proofErr w:type="spellStart"/>
      <w:proofErr w:type="gramStart"/>
      <w:r w:rsidRPr="007D698A">
        <w:rPr>
          <w:rFonts w:ascii="Verdana" w:eastAsia="Times New Roman" w:hAnsi="Verdana"/>
          <w:sz w:val="20"/>
          <w:szCs w:val="20"/>
        </w:rPr>
        <w:t>Ed.Univali</w:t>
      </w:r>
      <w:proofErr w:type="spellEnd"/>
      <w:proofErr w:type="gramEnd"/>
      <w:r w:rsidRPr="007D698A">
        <w:rPr>
          <w:rFonts w:ascii="Verdana" w:eastAsia="Times New Roman" w:hAnsi="Verdana"/>
          <w:sz w:val="20"/>
          <w:szCs w:val="20"/>
        </w:rPr>
        <w:t>, Itajaí, 2013.</w:t>
      </w:r>
    </w:p>
    <w:bookmarkEnd w:id="6"/>
    <w:p w14:paraId="31E3B31F" w14:textId="77777777" w:rsidR="007D698A" w:rsidRPr="007D698A" w:rsidRDefault="007D698A" w:rsidP="007D698A">
      <w:pPr>
        <w:spacing w:after="0" w:line="240" w:lineRule="auto"/>
        <w:ind w:hanging="284"/>
        <w:jc w:val="both"/>
        <w:rPr>
          <w:rFonts w:ascii="Verdana" w:eastAsia="Times New Roman" w:hAnsi="Verdana"/>
          <w:sz w:val="20"/>
          <w:szCs w:val="20"/>
        </w:rPr>
      </w:pPr>
    </w:p>
    <w:p w14:paraId="075B867B" w14:textId="77777777" w:rsidR="007D698A" w:rsidRPr="007D698A" w:rsidRDefault="007D698A" w:rsidP="007D698A">
      <w:pPr>
        <w:spacing w:after="0" w:line="240" w:lineRule="auto"/>
        <w:ind w:hanging="284"/>
        <w:jc w:val="both"/>
        <w:rPr>
          <w:rFonts w:ascii="Verdana" w:eastAsia="Times New Roman" w:hAnsi="Verdana"/>
          <w:sz w:val="20"/>
          <w:szCs w:val="20"/>
        </w:rPr>
      </w:pPr>
      <w:bookmarkStart w:id="7" w:name="_Hlk58505732"/>
      <w:r w:rsidRPr="007D698A">
        <w:rPr>
          <w:rFonts w:ascii="Verdana" w:eastAsia="Times New Roman" w:hAnsi="Verdana"/>
          <w:sz w:val="20"/>
          <w:szCs w:val="20"/>
        </w:rPr>
        <w:t xml:space="preserve">DAHL, R. </w:t>
      </w:r>
      <w:r w:rsidRPr="007D698A">
        <w:rPr>
          <w:rFonts w:ascii="Verdana" w:eastAsia="Times New Roman" w:hAnsi="Verdana"/>
          <w:i/>
          <w:iCs/>
          <w:sz w:val="20"/>
          <w:szCs w:val="20"/>
        </w:rPr>
        <w:t>A democracia e seus críticos</w:t>
      </w:r>
      <w:r w:rsidRPr="007D698A">
        <w:rPr>
          <w:rFonts w:ascii="Verdana" w:eastAsia="Times New Roman" w:hAnsi="Verdana"/>
          <w:sz w:val="20"/>
          <w:szCs w:val="20"/>
        </w:rPr>
        <w:t>. Trad. FREITAS RIBEIRO, Patrícia, Martins Fontes, São Paulo, 2012.</w:t>
      </w:r>
    </w:p>
    <w:bookmarkEnd w:id="7"/>
    <w:p w14:paraId="5D42C478" w14:textId="77777777" w:rsidR="007D698A" w:rsidRPr="007D698A" w:rsidRDefault="007D698A" w:rsidP="007D698A">
      <w:pPr>
        <w:spacing w:after="0" w:line="240" w:lineRule="auto"/>
        <w:ind w:hanging="284"/>
        <w:jc w:val="both"/>
        <w:rPr>
          <w:rFonts w:ascii="Verdana" w:eastAsia="Times New Roman" w:hAnsi="Verdana"/>
          <w:sz w:val="20"/>
          <w:szCs w:val="20"/>
        </w:rPr>
      </w:pPr>
    </w:p>
    <w:p w14:paraId="65781ABD" w14:textId="77777777" w:rsidR="007D698A" w:rsidRPr="007D698A" w:rsidRDefault="007D698A" w:rsidP="007D698A">
      <w:pPr>
        <w:spacing w:after="0" w:line="240" w:lineRule="auto"/>
        <w:ind w:hanging="284"/>
        <w:jc w:val="both"/>
        <w:rPr>
          <w:rFonts w:ascii="Verdana" w:eastAsia="Times New Roman" w:hAnsi="Verdana"/>
          <w:sz w:val="20"/>
          <w:szCs w:val="20"/>
        </w:rPr>
      </w:pPr>
      <w:r w:rsidRPr="007D698A">
        <w:rPr>
          <w:rFonts w:ascii="Verdana" w:eastAsia="Times New Roman" w:hAnsi="Verdana"/>
          <w:sz w:val="20"/>
          <w:szCs w:val="20"/>
        </w:rPr>
        <w:lastRenderedPageBreak/>
        <w:t xml:space="preserve">DOWBOR, L. </w:t>
      </w:r>
      <w:r w:rsidRPr="007D698A">
        <w:rPr>
          <w:rFonts w:ascii="Verdana" w:eastAsia="Times New Roman" w:hAnsi="Verdana"/>
          <w:bCs/>
          <w:i/>
          <w:iCs/>
          <w:sz w:val="20"/>
          <w:szCs w:val="20"/>
        </w:rPr>
        <w:t>A era do capital improdutivo</w:t>
      </w:r>
      <w:r w:rsidRPr="007D698A">
        <w:rPr>
          <w:rFonts w:ascii="Verdana" w:eastAsia="Times New Roman" w:hAnsi="Verdana"/>
          <w:sz w:val="20"/>
          <w:szCs w:val="20"/>
        </w:rPr>
        <w:t xml:space="preserve">: </w:t>
      </w:r>
      <w:r w:rsidRPr="007D698A">
        <w:rPr>
          <w:rFonts w:ascii="Verdana" w:eastAsia="Times New Roman" w:hAnsi="Verdana"/>
          <w:i/>
          <w:iCs/>
          <w:sz w:val="20"/>
          <w:szCs w:val="20"/>
        </w:rPr>
        <w:t xml:space="preserve">Por que </w:t>
      </w:r>
      <w:proofErr w:type="gramStart"/>
      <w:r w:rsidRPr="007D698A">
        <w:rPr>
          <w:rFonts w:ascii="Verdana" w:eastAsia="Times New Roman" w:hAnsi="Verdana"/>
          <w:i/>
          <w:iCs/>
          <w:sz w:val="20"/>
          <w:szCs w:val="20"/>
        </w:rPr>
        <w:t>oito famílias tem</w:t>
      </w:r>
      <w:proofErr w:type="gramEnd"/>
      <w:r w:rsidRPr="007D698A">
        <w:rPr>
          <w:rFonts w:ascii="Verdana" w:eastAsia="Times New Roman" w:hAnsi="Verdana"/>
          <w:i/>
          <w:iCs/>
          <w:sz w:val="20"/>
          <w:szCs w:val="20"/>
        </w:rPr>
        <w:t xml:space="preserve"> mais riqueza do que a metade da população do mundo,</w:t>
      </w:r>
      <w:r w:rsidRPr="007D698A">
        <w:rPr>
          <w:rFonts w:ascii="Verdana" w:eastAsia="Times New Roman" w:hAnsi="Verdana"/>
          <w:sz w:val="20"/>
          <w:szCs w:val="20"/>
        </w:rPr>
        <w:t xml:space="preserve"> Autonomia Literária, São Paulo, 2017. </w:t>
      </w:r>
    </w:p>
    <w:p w14:paraId="4BA6BB1F" w14:textId="77777777" w:rsidR="007D698A" w:rsidRPr="007D698A" w:rsidRDefault="007D698A" w:rsidP="007D698A">
      <w:pPr>
        <w:spacing w:after="0" w:line="240" w:lineRule="auto"/>
        <w:ind w:hanging="284"/>
        <w:jc w:val="both"/>
        <w:rPr>
          <w:rFonts w:ascii="Verdana" w:eastAsia="Times New Roman" w:hAnsi="Verdana"/>
          <w:sz w:val="20"/>
          <w:szCs w:val="20"/>
        </w:rPr>
      </w:pPr>
    </w:p>
    <w:p w14:paraId="566574C5" w14:textId="77777777" w:rsidR="007D698A" w:rsidRPr="007D698A" w:rsidRDefault="007D698A" w:rsidP="007D698A">
      <w:pPr>
        <w:spacing w:after="0" w:line="240" w:lineRule="auto"/>
        <w:ind w:hanging="284"/>
        <w:jc w:val="both"/>
        <w:rPr>
          <w:rFonts w:ascii="Verdana" w:eastAsia="Times New Roman" w:hAnsi="Verdana"/>
          <w:sz w:val="20"/>
          <w:szCs w:val="20"/>
        </w:rPr>
      </w:pPr>
      <w:r w:rsidRPr="007D698A">
        <w:rPr>
          <w:rFonts w:ascii="Verdana" w:eastAsia="Times New Roman" w:hAnsi="Verdana"/>
          <w:sz w:val="20"/>
          <w:szCs w:val="20"/>
        </w:rPr>
        <w:t xml:space="preserve">EL PAIS. </w:t>
      </w:r>
      <w:r w:rsidRPr="007D698A">
        <w:rPr>
          <w:rFonts w:ascii="Verdana" w:eastAsia="Times New Roman" w:hAnsi="Verdana"/>
          <w:bCs/>
          <w:i/>
          <w:iCs/>
          <w:sz w:val="20"/>
          <w:szCs w:val="20"/>
        </w:rPr>
        <w:t>Google se torna a empresa que mais gasta com lobby nos EUA,</w:t>
      </w:r>
      <w:r w:rsidRPr="007D698A">
        <w:rPr>
          <w:rFonts w:ascii="Verdana" w:eastAsia="Times New Roman" w:hAnsi="Verdana"/>
          <w:sz w:val="20"/>
          <w:szCs w:val="20"/>
        </w:rPr>
        <w:t xml:space="preserve"> 2018. Disponível em: &lt;https://brasil.elpais.com/brasil/2018/01/25/tecnologia/1516858 531_415491.html&gt;. Acesso em: 03 dez. 2020.</w:t>
      </w:r>
    </w:p>
    <w:p w14:paraId="0D3D819C" w14:textId="77777777" w:rsidR="007D698A" w:rsidRPr="007D698A" w:rsidRDefault="007D698A" w:rsidP="007D698A">
      <w:pPr>
        <w:spacing w:after="0" w:line="240" w:lineRule="auto"/>
        <w:ind w:hanging="284"/>
        <w:jc w:val="both"/>
        <w:rPr>
          <w:rFonts w:ascii="Verdana" w:eastAsia="Times New Roman" w:hAnsi="Verdana"/>
          <w:sz w:val="20"/>
          <w:szCs w:val="20"/>
        </w:rPr>
      </w:pPr>
    </w:p>
    <w:p w14:paraId="0BA2018F" w14:textId="77777777" w:rsidR="007D698A" w:rsidRPr="007D698A" w:rsidRDefault="007D698A" w:rsidP="007D698A">
      <w:pPr>
        <w:spacing w:after="0" w:line="240" w:lineRule="auto"/>
        <w:ind w:hanging="284"/>
        <w:jc w:val="both"/>
        <w:rPr>
          <w:rFonts w:ascii="Verdana" w:eastAsia="Times New Roman" w:hAnsi="Verdana"/>
          <w:b/>
          <w:sz w:val="20"/>
          <w:szCs w:val="20"/>
        </w:rPr>
      </w:pPr>
      <w:bookmarkStart w:id="8" w:name="_Hlk58506150"/>
      <w:r w:rsidRPr="007D698A">
        <w:rPr>
          <w:rFonts w:ascii="Verdana" w:eastAsia="Times New Roman" w:hAnsi="Verdana"/>
          <w:sz w:val="20"/>
          <w:szCs w:val="20"/>
        </w:rPr>
        <w:t>EXAME</w:t>
      </w:r>
      <w:r w:rsidRPr="007D698A">
        <w:rPr>
          <w:rFonts w:ascii="Verdana" w:eastAsia="Times New Roman" w:hAnsi="Verdana"/>
          <w:b/>
          <w:sz w:val="20"/>
          <w:szCs w:val="20"/>
        </w:rPr>
        <w:t xml:space="preserve">. </w:t>
      </w:r>
      <w:r w:rsidRPr="007D698A">
        <w:rPr>
          <w:rFonts w:ascii="Verdana" w:eastAsia="Times New Roman" w:hAnsi="Verdana"/>
          <w:bCs/>
          <w:i/>
          <w:iCs/>
          <w:sz w:val="20"/>
          <w:szCs w:val="20"/>
        </w:rPr>
        <w:t>Como regulamentar o lobby? O que diz um dos maiores especialistas no tema,</w:t>
      </w:r>
      <w:r w:rsidRPr="007D698A">
        <w:rPr>
          <w:rFonts w:ascii="Verdana" w:eastAsia="Times New Roman" w:hAnsi="Verdana"/>
          <w:b/>
          <w:i/>
          <w:iCs/>
          <w:sz w:val="20"/>
          <w:szCs w:val="20"/>
        </w:rPr>
        <w:t xml:space="preserve"> </w:t>
      </w:r>
      <w:r w:rsidRPr="007D698A">
        <w:rPr>
          <w:rFonts w:ascii="Verdana" w:eastAsia="Times New Roman" w:hAnsi="Verdana"/>
          <w:sz w:val="20"/>
          <w:szCs w:val="20"/>
        </w:rPr>
        <w:t>2019. Disponível em: &lt;https://exame.abril.com.br/brasil/como-regular-o-lobby-o-que-diz-um-dos-maiores-especialistas-no-tema/&gt;. Acesso em: 07 dez. 2020.</w:t>
      </w:r>
    </w:p>
    <w:bookmarkEnd w:id="8"/>
    <w:p w14:paraId="61229427" w14:textId="77777777" w:rsidR="007D698A" w:rsidRPr="007D698A" w:rsidRDefault="007D698A" w:rsidP="007D698A">
      <w:pPr>
        <w:spacing w:after="0" w:line="240" w:lineRule="auto"/>
        <w:ind w:hanging="284"/>
        <w:jc w:val="both"/>
        <w:rPr>
          <w:rFonts w:ascii="Verdana" w:eastAsia="Times New Roman" w:hAnsi="Verdana"/>
          <w:sz w:val="20"/>
          <w:szCs w:val="20"/>
        </w:rPr>
      </w:pPr>
    </w:p>
    <w:p w14:paraId="069A87C5" w14:textId="77777777" w:rsidR="007D698A" w:rsidRPr="007D698A" w:rsidRDefault="007D698A" w:rsidP="007D698A">
      <w:pPr>
        <w:spacing w:after="0" w:line="240" w:lineRule="auto"/>
        <w:ind w:hanging="284"/>
        <w:jc w:val="both"/>
        <w:rPr>
          <w:rFonts w:ascii="Verdana" w:eastAsia="Times New Roman" w:hAnsi="Verdana"/>
          <w:sz w:val="20"/>
          <w:szCs w:val="20"/>
        </w:rPr>
      </w:pPr>
      <w:r w:rsidRPr="007D698A">
        <w:rPr>
          <w:rFonts w:ascii="Verdana" w:eastAsia="Times New Roman" w:hAnsi="Verdana"/>
          <w:sz w:val="20"/>
          <w:szCs w:val="20"/>
        </w:rPr>
        <w:t xml:space="preserve">FARIA, J. E. </w:t>
      </w:r>
      <w:r w:rsidRPr="007D698A">
        <w:rPr>
          <w:rFonts w:ascii="Verdana" w:eastAsia="Times New Roman" w:hAnsi="Verdana"/>
          <w:bCs/>
          <w:i/>
          <w:iCs/>
          <w:sz w:val="20"/>
          <w:szCs w:val="20"/>
        </w:rPr>
        <w:t>O direito na economia globalizada</w:t>
      </w:r>
      <w:r w:rsidRPr="007D698A">
        <w:rPr>
          <w:rFonts w:ascii="Verdana" w:eastAsia="Times New Roman" w:hAnsi="Verdana"/>
          <w:bCs/>
          <w:sz w:val="20"/>
          <w:szCs w:val="20"/>
        </w:rPr>
        <w:t>,</w:t>
      </w:r>
      <w:r w:rsidRPr="007D698A">
        <w:rPr>
          <w:rFonts w:ascii="Verdana" w:eastAsia="Times New Roman" w:hAnsi="Verdana"/>
          <w:b/>
          <w:sz w:val="20"/>
          <w:szCs w:val="20"/>
        </w:rPr>
        <w:t xml:space="preserve"> </w:t>
      </w:r>
      <w:r w:rsidRPr="007D698A">
        <w:rPr>
          <w:rFonts w:ascii="Verdana" w:eastAsia="Times New Roman" w:hAnsi="Verdana"/>
          <w:sz w:val="20"/>
          <w:szCs w:val="20"/>
        </w:rPr>
        <w:t>Malheiros, São Paulo, 2004.</w:t>
      </w:r>
    </w:p>
    <w:p w14:paraId="71573DBF" w14:textId="77777777" w:rsidR="007D698A" w:rsidRPr="007D698A" w:rsidRDefault="007D698A" w:rsidP="007D698A">
      <w:pPr>
        <w:spacing w:after="0" w:line="240" w:lineRule="auto"/>
        <w:ind w:hanging="284"/>
        <w:jc w:val="both"/>
        <w:rPr>
          <w:rFonts w:ascii="Verdana" w:eastAsia="Times New Roman" w:hAnsi="Verdana"/>
          <w:sz w:val="20"/>
          <w:szCs w:val="20"/>
        </w:rPr>
      </w:pPr>
    </w:p>
    <w:p w14:paraId="3AE8B688" w14:textId="77777777" w:rsidR="007D698A" w:rsidRPr="007D698A" w:rsidRDefault="007D698A" w:rsidP="007D698A">
      <w:pPr>
        <w:spacing w:after="0" w:line="240" w:lineRule="auto"/>
        <w:ind w:hanging="284"/>
        <w:jc w:val="both"/>
        <w:rPr>
          <w:rFonts w:ascii="Verdana" w:eastAsia="Times New Roman" w:hAnsi="Verdana"/>
          <w:sz w:val="20"/>
          <w:szCs w:val="20"/>
        </w:rPr>
      </w:pPr>
      <w:r w:rsidRPr="007D698A">
        <w:rPr>
          <w:rFonts w:ascii="Verdana" w:eastAsia="Times New Roman" w:hAnsi="Verdana"/>
          <w:sz w:val="20"/>
          <w:szCs w:val="20"/>
        </w:rPr>
        <w:t>FARIA, J. E. “</w:t>
      </w:r>
      <w:proofErr w:type="spellStart"/>
      <w:r w:rsidRPr="007D698A">
        <w:rPr>
          <w:rFonts w:ascii="Verdana" w:eastAsia="Times New Roman" w:hAnsi="Verdana"/>
          <w:sz w:val="20"/>
          <w:szCs w:val="20"/>
        </w:rPr>
        <w:t>Policentrismo</w:t>
      </w:r>
      <w:proofErr w:type="spellEnd"/>
      <w:r w:rsidRPr="007D698A">
        <w:rPr>
          <w:rFonts w:ascii="Verdana" w:eastAsia="Times New Roman" w:hAnsi="Verdana"/>
          <w:sz w:val="20"/>
          <w:szCs w:val="20"/>
        </w:rPr>
        <w:t xml:space="preserve"> versus soberania: </w:t>
      </w:r>
      <w:proofErr w:type="spellStart"/>
      <w:r w:rsidRPr="007D698A">
        <w:rPr>
          <w:rFonts w:ascii="Verdana" w:eastAsia="Times New Roman" w:hAnsi="Verdana"/>
          <w:sz w:val="20"/>
          <w:szCs w:val="20"/>
        </w:rPr>
        <w:t>los</w:t>
      </w:r>
      <w:proofErr w:type="spellEnd"/>
      <w:r w:rsidRPr="007D698A">
        <w:rPr>
          <w:rFonts w:ascii="Verdana" w:eastAsia="Times New Roman" w:hAnsi="Verdana"/>
          <w:sz w:val="20"/>
          <w:szCs w:val="20"/>
        </w:rPr>
        <w:t xml:space="preserve"> </w:t>
      </w:r>
      <w:proofErr w:type="spellStart"/>
      <w:r w:rsidRPr="007D698A">
        <w:rPr>
          <w:rFonts w:ascii="Verdana" w:eastAsia="Times New Roman" w:hAnsi="Verdana"/>
          <w:sz w:val="20"/>
          <w:szCs w:val="20"/>
        </w:rPr>
        <w:t>nuevos</w:t>
      </w:r>
      <w:proofErr w:type="spellEnd"/>
      <w:r w:rsidRPr="007D698A">
        <w:rPr>
          <w:rFonts w:ascii="Verdana" w:eastAsia="Times New Roman" w:hAnsi="Verdana"/>
          <w:sz w:val="20"/>
          <w:szCs w:val="20"/>
        </w:rPr>
        <w:t xml:space="preserve"> </w:t>
      </w:r>
      <w:proofErr w:type="spellStart"/>
      <w:r w:rsidRPr="007D698A">
        <w:rPr>
          <w:rFonts w:ascii="Verdana" w:eastAsia="Times New Roman" w:hAnsi="Verdana"/>
          <w:sz w:val="20"/>
          <w:szCs w:val="20"/>
        </w:rPr>
        <w:t>órdenes</w:t>
      </w:r>
      <w:proofErr w:type="spellEnd"/>
      <w:r w:rsidRPr="007D698A">
        <w:rPr>
          <w:rFonts w:ascii="Verdana" w:eastAsia="Times New Roman" w:hAnsi="Verdana"/>
          <w:sz w:val="20"/>
          <w:szCs w:val="20"/>
        </w:rPr>
        <w:t xml:space="preserve"> normativos” in </w:t>
      </w:r>
      <w:proofErr w:type="spellStart"/>
      <w:r w:rsidRPr="007D698A">
        <w:rPr>
          <w:rFonts w:ascii="Verdana" w:eastAsia="Times New Roman" w:hAnsi="Verdana"/>
          <w:bCs/>
          <w:i/>
          <w:iCs/>
          <w:sz w:val="20"/>
          <w:szCs w:val="20"/>
        </w:rPr>
        <w:t>Anales</w:t>
      </w:r>
      <w:proofErr w:type="spellEnd"/>
      <w:r w:rsidRPr="007D698A">
        <w:rPr>
          <w:rFonts w:ascii="Verdana" w:eastAsia="Times New Roman" w:hAnsi="Verdana"/>
          <w:bCs/>
          <w:i/>
          <w:iCs/>
          <w:sz w:val="20"/>
          <w:szCs w:val="20"/>
        </w:rPr>
        <w:t xml:space="preserve"> de </w:t>
      </w:r>
      <w:proofErr w:type="spellStart"/>
      <w:r w:rsidRPr="007D698A">
        <w:rPr>
          <w:rFonts w:ascii="Verdana" w:eastAsia="Times New Roman" w:hAnsi="Verdana"/>
          <w:bCs/>
          <w:i/>
          <w:iCs/>
          <w:sz w:val="20"/>
          <w:szCs w:val="20"/>
        </w:rPr>
        <w:t>la</w:t>
      </w:r>
      <w:proofErr w:type="spellEnd"/>
      <w:r w:rsidRPr="007D698A">
        <w:rPr>
          <w:rFonts w:ascii="Verdana" w:eastAsia="Times New Roman" w:hAnsi="Verdana"/>
          <w:bCs/>
          <w:i/>
          <w:iCs/>
          <w:sz w:val="20"/>
          <w:szCs w:val="20"/>
        </w:rPr>
        <w:t xml:space="preserve"> Cátedra Francisco </w:t>
      </w:r>
      <w:proofErr w:type="spellStart"/>
      <w:r w:rsidRPr="007D698A">
        <w:rPr>
          <w:rFonts w:ascii="Verdana" w:eastAsia="Times New Roman" w:hAnsi="Verdana"/>
          <w:bCs/>
          <w:i/>
          <w:iCs/>
          <w:sz w:val="20"/>
          <w:szCs w:val="20"/>
        </w:rPr>
        <w:t>Suárez</w:t>
      </w:r>
      <w:proofErr w:type="spellEnd"/>
      <w:r w:rsidRPr="007D698A">
        <w:rPr>
          <w:rFonts w:ascii="Verdana" w:eastAsia="Times New Roman" w:hAnsi="Verdana"/>
          <w:bCs/>
          <w:sz w:val="20"/>
          <w:szCs w:val="20"/>
        </w:rPr>
        <w:t xml:space="preserve">, </w:t>
      </w:r>
      <w:r w:rsidRPr="007D698A">
        <w:rPr>
          <w:rFonts w:ascii="Verdana" w:eastAsia="Times New Roman" w:hAnsi="Verdana"/>
          <w:sz w:val="20"/>
          <w:szCs w:val="20"/>
        </w:rPr>
        <w:t>Granada, n. 44, 2010. Disponível em: &lt; http://revistaseug.ugr.es/index.php/acfs/article/view/438&gt;. Acesso em: 13 out. 2020.</w:t>
      </w:r>
    </w:p>
    <w:p w14:paraId="0CAF59D9" w14:textId="77777777" w:rsidR="007D698A" w:rsidRPr="007D698A" w:rsidRDefault="007D698A" w:rsidP="007D698A">
      <w:pPr>
        <w:spacing w:after="0" w:line="240" w:lineRule="auto"/>
        <w:ind w:hanging="284"/>
        <w:jc w:val="both"/>
        <w:rPr>
          <w:rFonts w:ascii="Verdana" w:eastAsia="Times New Roman" w:hAnsi="Verdana"/>
          <w:sz w:val="20"/>
          <w:szCs w:val="20"/>
        </w:rPr>
      </w:pPr>
    </w:p>
    <w:p w14:paraId="3E169686" w14:textId="77777777" w:rsidR="007D698A" w:rsidRPr="007D698A" w:rsidRDefault="007D698A" w:rsidP="007D698A">
      <w:pPr>
        <w:spacing w:after="0" w:line="240" w:lineRule="auto"/>
        <w:ind w:hanging="284"/>
        <w:jc w:val="both"/>
        <w:rPr>
          <w:rFonts w:ascii="Verdana" w:eastAsia="Times New Roman" w:hAnsi="Verdana"/>
          <w:sz w:val="20"/>
          <w:szCs w:val="20"/>
        </w:rPr>
      </w:pPr>
      <w:bookmarkStart w:id="9" w:name="_Hlk58506449"/>
      <w:r w:rsidRPr="007D698A">
        <w:rPr>
          <w:rFonts w:ascii="Verdana" w:eastAsia="Times New Roman" w:hAnsi="Verdana"/>
          <w:sz w:val="20"/>
          <w:szCs w:val="20"/>
        </w:rPr>
        <w:t xml:space="preserve">FERRAJOLI, L. </w:t>
      </w:r>
      <w:r w:rsidRPr="007D698A">
        <w:rPr>
          <w:rFonts w:ascii="Verdana" w:eastAsia="Times New Roman" w:hAnsi="Verdana"/>
          <w:bCs/>
          <w:i/>
          <w:iCs/>
          <w:sz w:val="20"/>
          <w:szCs w:val="20"/>
        </w:rPr>
        <w:t>A Democracia através dos Direitos</w:t>
      </w:r>
      <w:r w:rsidRPr="007D698A">
        <w:rPr>
          <w:rFonts w:ascii="Verdana" w:eastAsia="Times New Roman" w:hAnsi="Verdana"/>
          <w:b/>
          <w:i/>
          <w:iCs/>
          <w:sz w:val="20"/>
          <w:szCs w:val="20"/>
        </w:rPr>
        <w:t>:</w:t>
      </w:r>
      <w:r w:rsidRPr="007D698A">
        <w:rPr>
          <w:rFonts w:ascii="Verdana" w:eastAsia="Times New Roman" w:hAnsi="Verdana"/>
          <w:i/>
          <w:iCs/>
          <w:sz w:val="20"/>
          <w:szCs w:val="20"/>
        </w:rPr>
        <w:t xml:space="preserve"> o constitucionalismo </w:t>
      </w:r>
      <w:proofErr w:type="spellStart"/>
      <w:r w:rsidRPr="007D698A">
        <w:rPr>
          <w:rFonts w:ascii="Verdana" w:eastAsia="Times New Roman" w:hAnsi="Verdana"/>
          <w:i/>
          <w:iCs/>
          <w:sz w:val="20"/>
          <w:szCs w:val="20"/>
        </w:rPr>
        <w:t>garantista</w:t>
      </w:r>
      <w:proofErr w:type="spellEnd"/>
      <w:r w:rsidRPr="007D698A">
        <w:rPr>
          <w:rFonts w:ascii="Verdana" w:eastAsia="Times New Roman" w:hAnsi="Verdana"/>
          <w:i/>
          <w:iCs/>
          <w:sz w:val="20"/>
          <w:szCs w:val="20"/>
        </w:rPr>
        <w:t xml:space="preserve"> como modelo teórico e como projeto político</w:t>
      </w:r>
      <w:r w:rsidRPr="007D698A">
        <w:rPr>
          <w:rFonts w:ascii="Verdana" w:eastAsia="Times New Roman" w:hAnsi="Verdana"/>
          <w:sz w:val="20"/>
          <w:szCs w:val="20"/>
        </w:rPr>
        <w:t>, Revista dos Tribunais, São Paulo, 2015.</w:t>
      </w:r>
    </w:p>
    <w:bookmarkEnd w:id="9"/>
    <w:p w14:paraId="03997178" w14:textId="77777777" w:rsidR="007D698A" w:rsidRPr="007D698A" w:rsidRDefault="007D698A" w:rsidP="007D698A">
      <w:pPr>
        <w:spacing w:after="0" w:line="240" w:lineRule="auto"/>
        <w:ind w:hanging="284"/>
        <w:jc w:val="both"/>
        <w:rPr>
          <w:rFonts w:ascii="Verdana" w:eastAsia="Times New Roman" w:hAnsi="Verdana"/>
          <w:sz w:val="20"/>
          <w:szCs w:val="20"/>
        </w:rPr>
      </w:pPr>
    </w:p>
    <w:p w14:paraId="30A2B374" w14:textId="77777777" w:rsidR="007D698A" w:rsidRPr="007D698A" w:rsidRDefault="007D698A" w:rsidP="007D698A">
      <w:pPr>
        <w:autoSpaceDE w:val="0"/>
        <w:autoSpaceDN w:val="0"/>
        <w:adjustRightInd w:val="0"/>
        <w:spacing w:after="0" w:line="240" w:lineRule="auto"/>
        <w:ind w:hanging="284"/>
        <w:jc w:val="both"/>
        <w:rPr>
          <w:rFonts w:ascii="Verdana" w:eastAsia="Times New Roman" w:hAnsi="Verdana"/>
          <w:sz w:val="20"/>
          <w:szCs w:val="20"/>
        </w:rPr>
      </w:pPr>
      <w:r w:rsidRPr="007D698A">
        <w:rPr>
          <w:rFonts w:ascii="Verdana" w:eastAsia="Times New Roman" w:hAnsi="Verdana"/>
          <w:sz w:val="20"/>
          <w:szCs w:val="20"/>
        </w:rPr>
        <w:t xml:space="preserve">FRYDMANN, B. </w:t>
      </w:r>
      <w:r w:rsidRPr="007D698A">
        <w:rPr>
          <w:rFonts w:ascii="Verdana" w:eastAsia="Times New Roman" w:hAnsi="Verdana"/>
          <w:bCs/>
          <w:i/>
          <w:iCs/>
          <w:sz w:val="20"/>
          <w:szCs w:val="20"/>
        </w:rPr>
        <w:t>O fim do Estado de Direito</w:t>
      </w:r>
      <w:r w:rsidRPr="007D698A">
        <w:rPr>
          <w:rFonts w:ascii="Verdana" w:eastAsia="Times New Roman" w:hAnsi="Verdana"/>
          <w:i/>
          <w:iCs/>
          <w:sz w:val="20"/>
          <w:szCs w:val="20"/>
        </w:rPr>
        <w:t xml:space="preserve">. Governar por </w:t>
      </w:r>
      <w:proofErr w:type="spellStart"/>
      <w:r w:rsidRPr="007D698A">
        <w:rPr>
          <w:rFonts w:ascii="Verdana" w:eastAsia="Times New Roman" w:hAnsi="Verdana"/>
          <w:i/>
          <w:iCs/>
          <w:sz w:val="20"/>
          <w:szCs w:val="20"/>
        </w:rPr>
        <w:t>standars</w:t>
      </w:r>
      <w:proofErr w:type="spellEnd"/>
      <w:r w:rsidRPr="007D698A">
        <w:rPr>
          <w:rFonts w:ascii="Verdana" w:eastAsia="Times New Roman" w:hAnsi="Verdana"/>
          <w:i/>
          <w:iCs/>
          <w:sz w:val="20"/>
          <w:szCs w:val="20"/>
        </w:rPr>
        <w:t xml:space="preserve"> e indicadores.</w:t>
      </w:r>
      <w:r w:rsidRPr="007D698A">
        <w:rPr>
          <w:rFonts w:ascii="Verdana" w:eastAsia="Times New Roman" w:hAnsi="Verdana"/>
          <w:sz w:val="20"/>
          <w:szCs w:val="20"/>
        </w:rPr>
        <w:t xml:space="preserve"> Trad. SALDANHA, J., Livraria do Advogado, Porto Alegre, 2018.</w:t>
      </w:r>
    </w:p>
    <w:p w14:paraId="6CCB3F15" w14:textId="77777777" w:rsidR="007D698A" w:rsidRPr="007D698A" w:rsidRDefault="007D698A" w:rsidP="007D698A">
      <w:pPr>
        <w:spacing w:after="0" w:line="240" w:lineRule="auto"/>
        <w:ind w:hanging="284"/>
        <w:jc w:val="both"/>
        <w:rPr>
          <w:rFonts w:ascii="Verdana" w:eastAsia="Times New Roman" w:hAnsi="Verdana"/>
          <w:sz w:val="20"/>
          <w:szCs w:val="20"/>
        </w:rPr>
      </w:pPr>
    </w:p>
    <w:p w14:paraId="4C3FEF94" w14:textId="77777777" w:rsidR="007D698A" w:rsidRPr="007D698A" w:rsidRDefault="007D698A" w:rsidP="007D698A">
      <w:pPr>
        <w:spacing w:after="0" w:line="240" w:lineRule="auto"/>
        <w:ind w:hanging="284"/>
        <w:jc w:val="both"/>
        <w:rPr>
          <w:rFonts w:ascii="Verdana" w:eastAsia="Times New Roman" w:hAnsi="Verdana"/>
          <w:sz w:val="20"/>
          <w:szCs w:val="20"/>
        </w:rPr>
      </w:pPr>
      <w:r w:rsidRPr="007D698A">
        <w:rPr>
          <w:rFonts w:ascii="Verdana" w:eastAsia="Times New Roman" w:hAnsi="Verdana"/>
          <w:sz w:val="20"/>
          <w:szCs w:val="20"/>
        </w:rPr>
        <w:t xml:space="preserve">G1. </w:t>
      </w:r>
      <w:r w:rsidRPr="007D698A">
        <w:rPr>
          <w:rFonts w:ascii="Verdana" w:eastAsia="Times New Roman" w:hAnsi="Verdana"/>
          <w:bCs/>
          <w:i/>
          <w:iCs/>
          <w:sz w:val="20"/>
          <w:szCs w:val="20"/>
        </w:rPr>
        <w:t>O voto dos deputados</w:t>
      </w:r>
      <w:r w:rsidRPr="007D698A">
        <w:rPr>
          <w:rFonts w:ascii="Verdana" w:eastAsia="Times New Roman" w:hAnsi="Verdana"/>
          <w:sz w:val="20"/>
          <w:szCs w:val="20"/>
        </w:rPr>
        <w:t>. Disponível em: &lt;http://especiais.g1.globo.com/politica /2019/o-voto-dos- deputados/#/deputados/</w:t>
      </w:r>
      <w:proofErr w:type="spellStart"/>
      <w:r w:rsidRPr="007D698A">
        <w:rPr>
          <w:rFonts w:ascii="Verdana" w:eastAsia="Times New Roman" w:hAnsi="Verdana"/>
          <w:sz w:val="20"/>
          <w:szCs w:val="20"/>
        </w:rPr>
        <w:t>undefined</w:t>
      </w:r>
      <w:proofErr w:type="spellEnd"/>
      <w:r w:rsidRPr="007D698A">
        <w:rPr>
          <w:rFonts w:ascii="Verdana" w:eastAsia="Times New Roman" w:hAnsi="Verdana"/>
          <w:sz w:val="20"/>
          <w:szCs w:val="20"/>
        </w:rPr>
        <w:t>&gt;. Acesso em: 09 dez. 2020.</w:t>
      </w:r>
    </w:p>
    <w:p w14:paraId="4BD6F0C8" w14:textId="77777777" w:rsidR="007D698A" w:rsidRPr="007D698A" w:rsidRDefault="007D698A" w:rsidP="007D698A">
      <w:pPr>
        <w:spacing w:after="0" w:line="240" w:lineRule="auto"/>
        <w:ind w:hanging="284"/>
        <w:jc w:val="both"/>
        <w:rPr>
          <w:rFonts w:ascii="Verdana" w:eastAsia="Times New Roman" w:hAnsi="Verdana"/>
          <w:sz w:val="20"/>
          <w:szCs w:val="20"/>
        </w:rPr>
      </w:pPr>
    </w:p>
    <w:p w14:paraId="0FE017B4" w14:textId="77777777" w:rsidR="007D698A" w:rsidRPr="007D698A" w:rsidRDefault="007D698A" w:rsidP="007D698A">
      <w:pPr>
        <w:spacing w:after="0" w:line="240" w:lineRule="auto"/>
        <w:ind w:hanging="284"/>
        <w:jc w:val="both"/>
        <w:rPr>
          <w:rFonts w:ascii="Verdana" w:eastAsia="Times New Roman" w:hAnsi="Verdana"/>
          <w:sz w:val="20"/>
          <w:szCs w:val="20"/>
        </w:rPr>
      </w:pPr>
      <w:bookmarkStart w:id="10" w:name="_Hlk42937424"/>
      <w:r w:rsidRPr="007D698A">
        <w:rPr>
          <w:rFonts w:ascii="Verdana" w:eastAsia="Times New Roman" w:hAnsi="Verdana"/>
          <w:sz w:val="20"/>
          <w:szCs w:val="20"/>
        </w:rPr>
        <w:t>GERVASONI, T.A.</w:t>
      </w:r>
      <w:r w:rsidRPr="007D698A">
        <w:rPr>
          <w:rFonts w:ascii="Verdana" w:eastAsia="Times New Roman" w:hAnsi="Verdana"/>
          <w:b/>
          <w:sz w:val="20"/>
          <w:szCs w:val="20"/>
        </w:rPr>
        <w:t xml:space="preserve"> </w:t>
      </w:r>
      <w:r w:rsidRPr="007D698A">
        <w:rPr>
          <w:rFonts w:ascii="Verdana" w:eastAsia="Times New Roman" w:hAnsi="Verdana"/>
          <w:bCs/>
          <w:i/>
          <w:iCs/>
          <w:sz w:val="20"/>
          <w:szCs w:val="20"/>
        </w:rPr>
        <w:t>Estado e Direito em trânsito na pós-modernidade,</w:t>
      </w:r>
      <w:r w:rsidRPr="007D698A">
        <w:rPr>
          <w:rFonts w:ascii="Verdana" w:eastAsia="Times New Roman" w:hAnsi="Verdana"/>
          <w:sz w:val="20"/>
          <w:szCs w:val="20"/>
        </w:rPr>
        <w:t xml:space="preserve"> Empório do Direito, Florianópolis, 2017.</w:t>
      </w:r>
    </w:p>
    <w:bookmarkEnd w:id="10"/>
    <w:p w14:paraId="22FA0F36" w14:textId="77777777" w:rsidR="007D698A" w:rsidRPr="007D698A" w:rsidRDefault="007D698A" w:rsidP="007D698A">
      <w:pPr>
        <w:spacing w:after="0" w:line="240" w:lineRule="auto"/>
        <w:ind w:hanging="284"/>
        <w:jc w:val="both"/>
        <w:rPr>
          <w:rFonts w:ascii="Verdana" w:eastAsia="Times New Roman" w:hAnsi="Verdana"/>
          <w:sz w:val="20"/>
          <w:szCs w:val="20"/>
        </w:rPr>
      </w:pPr>
    </w:p>
    <w:p w14:paraId="6E2654A5" w14:textId="77777777" w:rsidR="007D698A" w:rsidRPr="007D698A" w:rsidRDefault="007D698A" w:rsidP="007D698A">
      <w:pPr>
        <w:spacing w:after="0" w:line="240" w:lineRule="auto"/>
        <w:ind w:hanging="284"/>
        <w:jc w:val="both"/>
        <w:rPr>
          <w:rFonts w:ascii="Verdana" w:eastAsia="Times New Roman" w:hAnsi="Verdana"/>
          <w:sz w:val="20"/>
          <w:szCs w:val="20"/>
        </w:rPr>
      </w:pPr>
      <w:r w:rsidRPr="007D698A">
        <w:rPr>
          <w:rFonts w:ascii="Verdana" w:eastAsia="Times New Roman" w:hAnsi="Verdana"/>
          <w:sz w:val="20"/>
          <w:szCs w:val="20"/>
        </w:rPr>
        <w:t xml:space="preserve">GRUN, R. “Entre a plutocracia e a legitimação da dominação financeira”. </w:t>
      </w:r>
      <w:r w:rsidRPr="007D698A">
        <w:rPr>
          <w:rFonts w:ascii="Verdana" w:eastAsia="Times New Roman" w:hAnsi="Verdana"/>
          <w:i/>
          <w:iCs/>
          <w:sz w:val="20"/>
          <w:szCs w:val="20"/>
        </w:rPr>
        <w:t>Revista Brasileira de Ciências Sociais,</w:t>
      </w:r>
      <w:r w:rsidRPr="007D698A">
        <w:rPr>
          <w:rFonts w:ascii="Verdana" w:eastAsia="Times New Roman" w:hAnsi="Verdana"/>
          <w:sz w:val="20"/>
          <w:szCs w:val="20"/>
        </w:rPr>
        <w:t xml:space="preserve"> vol. 22, n. 65, 2007, p. 85-107. Disponível em: &lt; http://www.redalyc.org/articulo.oa?id=10706508&gt;. Acesso em: 10 dez. 2020.</w:t>
      </w:r>
    </w:p>
    <w:p w14:paraId="4F8A2976" w14:textId="77777777" w:rsidR="007D698A" w:rsidRPr="007D698A" w:rsidRDefault="007D698A" w:rsidP="007D698A">
      <w:pPr>
        <w:spacing w:after="0" w:line="240" w:lineRule="auto"/>
        <w:ind w:hanging="284"/>
        <w:jc w:val="both"/>
        <w:rPr>
          <w:rFonts w:ascii="Verdana" w:eastAsia="Times New Roman" w:hAnsi="Verdana"/>
          <w:sz w:val="20"/>
          <w:szCs w:val="20"/>
        </w:rPr>
      </w:pPr>
    </w:p>
    <w:p w14:paraId="026586E3" w14:textId="77777777" w:rsidR="007D698A" w:rsidRPr="007D698A" w:rsidRDefault="007D698A" w:rsidP="007D698A">
      <w:pPr>
        <w:spacing w:after="0" w:line="240" w:lineRule="auto"/>
        <w:ind w:hanging="284"/>
        <w:jc w:val="both"/>
        <w:rPr>
          <w:rFonts w:ascii="Verdana" w:eastAsia="Times New Roman" w:hAnsi="Verdana"/>
          <w:sz w:val="20"/>
          <w:szCs w:val="20"/>
        </w:rPr>
      </w:pPr>
      <w:r w:rsidRPr="007D698A">
        <w:rPr>
          <w:rFonts w:ascii="Verdana" w:eastAsia="Times New Roman" w:hAnsi="Verdana"/>
          <w:sz w:val="20"/>
          <w:szCs w:val="20"/>
        </w:rPr>
        <w:t xml:space="preserve">HELD, D.; MCGEW, A. </w:t>
      </w:r>
      <w:r w:rsidRPr="007D698A">
        <w:rPr>
          <w:rFonts w:ascii="Verdana" w:eastAsia="Times New Roman" w:hAnsi="Verdana"/>
          <w:bCs/>
          <w:i/>
          <w:iCs/>
          <w:sz w:val="20"/>
          <w:szCs w:val="20"/>
        </w:rPr>
        <w:t>Prós e contras da globalização</w:t>
      </w:r>
      <w:r w:rsidRPr="007D698A">
        <w:rPr>
          <w:rFonts w:ascii="Verdana" w:eastAsia="Times New Roman" w:hAnsi="Verdana"/>
          <w:b/>
          <w:sz w:val="20"/>
          <w:szCs w:val="20"/>
        </w:rPr>
        <w:t>.</w:t>
      </w:r>
      <w:r w:rsidRPr="007D698A">
        <w:rPr>
          <w:rFonts w:ascii="Verdana" w:eastAsia="Times New Roman" w:hAnsi="Verdana"/>
          <w:sz w:val="20"/>
          <w:szCs w:val="20"/>
        </w:rPr>
        <w:t xml:space="preserve"> Trad. RIBEIRO, V., Ed. Jorge </w:t>
      </w:r>
      <w:proofErr w:type="spellStart"/>
      <w:r w:rsidRPr="007D698A">
        <w:rPr>
          <w:rFonts w:ascii="Verdana" w:eastAsia="Times New Roman" w:hAnsi="Verdana"/>
          <w:sz w:val="20"/>
          <w:szCs w:val="20"/>
        </w:rPr>
        <w:t>Jahar</w:t>
      </w:r>
      <w:proofErr w:type="spellEnd"/>
      <w:r w:rsidRPr="007D698A">
        <w:rPr>
          <w:rFonts w:ascii="Verdana" w:eastAsia="Times New Roman" w:hAnsi="Verdana"/>
          <w:sz w:val="20"/>
          <w:szCs w:val="20"/>
        </w:rPr>
        <w:t>, Rio de Janeiro, 2001.</w:t>
      </w:r>
    </w:p>
    <w:p w14:paraId="0BF45EFA" w14:textId="77777777" w:rsidR="007D698A" w:rsidRPr="007D698A" w:rsidRDefault="007D698A" w:rsidP="007D698A">
      <w:pPr>
        <w:spacing w:after="0" w:line="240" w:lineRule="auto"/>
        <w:ind w:hanging="284"/>
        <w:jc w:val="both"/>
        <w:rPr>
          <w:rFonts w:ascii="Verdana" w:eastAsia="Times New Roman" w:hAnsi="Verdana"/>
          <w:sz w:val="20"/>
          <w:szCs w:val="20"/>
        </w:rPr>
      </w:pPr>
    </w:p>
    <w:p w14:paraId="38EC4C41" w14:textId="77777777" w:rsidR="007D698A" w:rsidRPr="007D698A" w:rsidRDefault="007D698A" w:rsidP="007D698A">
      <w:pPr>
        <w:autoSpaceDE w:val="0"/>
        <w:autoSpaceDN w:val="0"/>
        <w:adjustRightInd w:val="0"/>
        <w:spacing w:after="0" w:line="240" w:lineRule="auto"/>
        <w:ind w:hanging="284"/>
        <w:jc w:val="both"/>
        <w:rPr>
          <w:rFonts w:ascii="Verdana" w:eastAsia="Times New Roman" w:hAnsi="Verdana"/>
          <w:sz w:val="20"/>
          <w:szCs w:val="20"/>
          <w:shd w:val="clear" w:color="auto" w:fill="FFFFFF"/>
        </w:rPr>
      </w:pPr>
      <w:r w:rsidRPr="007D698A">
        <w:rPr>
          <w:rFonts w:ascii="Verdana" w:eastAsia="Times New Roman" w:hAnsi="Verdana"/>
          <w:sz w:val="20"/>
          <w:szCs w:val="20"/>
          <w:shd w:val="clear" w:color="auto" w:fill="FFFFFF"/>
        </w:rPr>
        <w:t xml:space="preserve">IBGE, Instituto Brasileiro de Geografia e Estatística. </w:t>
      </w:r>
      <w:r w:rsidRPr="007D698A">
        <w:rPr>
          <w:rFonts w:ascii="Verdana" w:eastAsia="Times New Roman" w:hAnsi="Verdana"/>
          <w:i/>
          <w:iCs/>
          <w:sz w:val="20"/>
          <w:szCs w:val="20"/>
          <w:shd w:val="clear" w:color="auto" w:fill="FFFFFF"/>
        </w:rPr>
        <w:t>Desemprego</w:t>
      </w:r>
      <w:r w:rsidRPr="007D698A">
        <w:rPr>
          <w:rFonts w:ascii="Verdana" w:eastAsia="Times New Roman" w:hAnsi="Verdana"/>
          <w:sz w:val="20"/>
          <w:szCs w:val="20"/>
          <w:shd w:val="clear" w:color="auto" w:fill="FFFFFF"/>
        </w:rPr>
        <w:t>,</w:t>
      </w:r>
      <w:r w:rsidRPr="007D698A">
        <w:rPr>
          <w:rFonts w:ascii="Verdana" w:eastAsia="Times New Roman" w:hAnsi="Verdana"/>
          <w:b/>
          <w:bCs/>
          <w:sz w:val="20"/>
          <w:szCs w:val="20"/>
          <w:shd w:val="clear" w:color="auto" w:fill="FFFFFF"/>
        </w:rPr>
        <w:t xml:space="preserve"> </w:t>
      </w:r>
      <w:r w:rsidRPr="007D698A">
        <w:rPr>
          <w:rFonts w:ascii="Verdana" w:eastAsia="Times New Roman" w:hAnsi="Verdana"/>
          <w:sz w:val="20"/>
          <w:szCs w:val="20"/>
          <w:shd w:val="clear" w:color="auto" w:fill="FFFFFF"/>
        </w:rPr>
        <w:t>2020. Disponível em: &lt;https://www.ibge.gov.br/explica/desemprego.php&gt;. Acesso em: 01 dez. 2020.</w:t>
      </w:r>
    </w:p>
    <w:p w14:paraId="5C362342" w14:textId="77777777" w:rsidR="007D698A" w:rsidRPr="007D698A" w:rsidRDefault="007D698A" w:rsidP="007D698A">
      <w:pPr>
        <w:autoSpaceDE w:val="0"/>
        <w:autoSpaceDN w:val="0"/>
        <w:adjustRightInd w:val="0"/>
        <w:spacing w:after="0" w:line="240" w:lineRule="auto"/>
        <w:ind w:hanging="284"/>
        <w:jc w:val="both"/>
        <w:rPr>
          <w:rFonts w:ascii="Verdana" w:eastAsia="Times New Roman" w:hAnsi="Verdana"/>
          <w:sz w:val="20"/>
          <w:szCs w:val="20"/>
          <w:shd w:val="clear" w:color="auto" w:fill="FFFFFF"/>
        </w:rPr>
      </w:pPr>
    </w:p>
    <w:p w14:paraId="23F37ABD" w14:textId="77777777" w:rsidR="007D698A" w:rsidRPr="007D698A" w:rsidRDefault="007D698A" w:rsidP="007D698A">
      <w:pPr>
        <w:spacing w:after="0" w:line="240" w:lineRule="auto"/>
        <w:ind w:hanging="284"/>
        <w:jc w:val="both"/>
        <w:rPr>
          <w:rFonts w:ascii="Verdana" w:eastAsia="Times New Roman" w:hAnsi="Verdana"/>
          <w:sz w:val="20"/>
          <w:szCs w:val="20"/>
        </w:rPr>
      </w:pPr>
      <w:r w:rsidRPr="007D698A">
        <w:rPr>
          <w:rFonts w:ascii="Verdana" w:eastAsia="Times New Roman" w:hAnsi="Verdana"/>
          <w:sz w:val="20"/>
          <w:szCs w:val="20"/>
        </w:rPr>
        <w:t xml:space="preserve">MILANOVIC, B. </w:t>
      </w:r>
      <w:r w:rsidRPr="007D698A">
        <w:rPr>
          <w:rFonts w:ascii="Verdana" w:eastAsia="Times New Roman" w:hAnsi="Verdana"/>
          <w:bCs/>
          <w:i/>
          <w:iCs/>
          <w:sz w:val="20"/>
          <w:szCs w:val="20"/>
        </w:rPr>
        <w:t>A desigualdade no mundo</w:t>
      </w:r>
      <w:r w:rsidRPr="007D698A">
        <w:rPr>
          <w:rFonts w:ascii="Verdana" w:eastAsia="Times New Roman" w:hAnsi="Verdana"/>
          <w:i/>
          <w:iCs/>
          <w:sz w:val="20"/>
          <w:szCs w:val="20"/>
        </w:rPr>
        <w:t>: uma nova abordagem para a era da globalização</w:t>
      </w:r>
      <w:r w:rsidRPr="007D698A">
        <w:rPr>
          <w:rFonts w:ascii="Verdana" w:eastAsia="Times New Roman" w:hAnsi="Verdana"/>
          <w:sz w:val="20"/>
          <w:szCs w:val="20"/>
        </w:rPr>
        <w:t xml:space="preserve">. Trad. PEREIRA DA SILVA, M., </w:t>
      </w:r>
      <w:proofErr w:type="spellStart"/>
      <w:r w:rsidRPr="007D698A">
        <w:rPr>
          <w:rFonts w:ascii="Verdana" w:eastAsia="Times New Roman" w:hAnsi="Verdana"/>
          <w:sz w:val="20"/>
          <w:szCs w:val="20"/>
        </w:rPr>
        <w:t>Actual</w:t>
      </w:r>
      <w:proofErr w:type="spellEnd"/>
      <w:r w:rsidRPr="007D698A">
        <w:rPr>
          <w:rFonts w:ascii="Verdana" w:eastAsia="Times New Roman" w:hAnsi="Verdana"/>
          <w:sz w:val="20"/>
          <w:szCs w:val="20"/>
        </w:rPr>
        <w:t>, São Paulo, 2017.</w:t>
      </w:r>
    </w:p>
    <w:p w14:paraId="4EB85D61" w14:textId="77777777" w:rsidR="007D698A" w:rsidRPr="007D698A" w:rsidRDefault="007D698A" w:rsidP="007D698A">
      <w:pPr>
        <w:spacing w:after="0" w:line="240" w:lineRule="auto"/>
        <w:ind w:hanging="284"/>
        <w:jc w:val="both"/>
        <w:rPr>
          <w:rFonts w:ascii="Verdana" w:eastAsia="Times New Roman" w:hAnsi="Verdana"/>
          <w:sz w:val="20"/>
          <w:szCs w:val="20"/>
        </w:rPr>
      </w:pPr>
    </w:p>
    <w:p w14:paraId="11E33F56" w14:textId="77777777" w:rsidR="007D698A" w:rsidRPr="007D698A" w:rsidRDefault="007D698A" w:rsidP="007D698A">
      <w:pPr>
        <w:spacing w:after="0" w:line="240" w:lineRule="auto"/>
        <w:ind w:hanging="284"/>
        <w:jc w:val="both"/>
        <w:rPr>
          <w:rFonts w:ascii="Verdana" w:eastAsia="Times New Roman" w:hAnsi="Verdana"/>
          <w:sz w:val="20"/>
          <w:szCs w:val="20"/>
        </w:rPr>
      </w:pPr>
      <w:r w:rsidRPr="007D698A">
        <w:rPr>
          <w:rFonts w:ascii="Verdana" w:eastAsia="Times New Roman" w:hAnsi="Verdana"/>
          <w:sz w:val="20"/>
          <w:szCs w:val="20"/>
        </w:rPr>
        <w:t xml:space="preserve">RANCIÈRE, J. </w:t>
      </w:r>
      <w:r w:rsidRPr="007D698A">
        <w:rPr>
          <w:rFonts w:ascii="Verdana" w:eastAsia="Times New Roman" w:hAnsi="Verdana"/>
          <w:bCs/>
          <w:i/>
          <w:iCs/>
          <w:sz w:val="20"/>
          <w:szCs w:val="20"/>
        </w:rPr>
        <w:t>O ódio à Democracia</w:t>
      </w:r>
      <w:r w:rsidRPr="007D698A">
        <w:rPr>
          <w:rFonts w:ascii="Verdana" w:eastAsia="Times New Roman" w:hAnsi="Verdana"/>
          <w:sz w:val="20"/>
          <w:szCs w:val="20"/>
        </w:rPr>
        <w:t xml:space="preserve">, </w:t>
      </w:r>
      <w:proofErr w:type="spellStart"/>
      <w:r w:rsidRPr="007D698A">
        <w:rPr>
          <w:rFonts w:ascii="Verdana" w:eastAsia="Times New Roman" w:hAnsi="Verdana"/>
          <w:sz w:val="20"/>
          <w:szCs w:val="20"/>
        </w:rPr>
        <w:t>Boitempo</w:t>
      </w:r>
      <w:proofErr w:type="spellEnd"/>
      <w:r w:rsidRPr="007D698A">
        <w:rPr>
          <w:rFonts w:ascii="Verdana" w:eastAsia="Times New Roman" w:hAnsi="Verdana"/>
          <w:sz w:val="20"/>
          <w:szCs w:val="20"/>
        </w:rPr>
        <w:t>, São Paulo, 2014.</w:t>
      </w:r>
    </w:p>
    <w:p w14:paraId="56018BB3" w14:textId="77777777" w:rsidR="007D698A" w:rsidRPr="007D698A" w:rsidRDefault="007D698A" w:rsidP="007D698A">
      <w:pPr>
        <w:autoSpaceDE w:val="0"/>
        <w:autoSpaceDN w:val="0"/>
        <w:adjustRightInd w:val="0"/>
        <w:spacing w:after="0" w:line="240" w:lineRule="auto"/>
        <w:ind w:hanging="284"/>
        <w:jc w:val="both"/>
        <w:rPr>
          <w:rFonts w:ascii="Verdana" w:eastAsia="Times New Roman" w:hAnsi="Verdana"/>
          <w:sz w:val="20"/>
          <w:szCs w:val="20"/>
        </w:rPr>
      </w:pPr>
    </w:p>
    <w:p w14:paraId="14593A7B" w14:textId="77777777" w:rsidR="007D698A" w:rsidRPr="007D698A" w:rsidRDefault="007D698A" w:rsidP="007D698A">
      <w:pPr>
        <w:autoSpaceDE w:val="0"/>
        <w:autoSpaceDN w:val="0"/>
        <w:adjustRightInd w:val="0"/>
        <w:spacing w:after="0" w:line="240" w:lineRule="auto"/>
        <w:ind w:hanging="284"/>
        <w:jc w:val="both"/>
        <w:rPr>
          <w:rFonts w:ascii="Verdana" w:eastAsia="Times New Roman" w:hAnsi="Verdana"/>
          <w:sz w:val="20"/>
          <w:szCs w:val="20"/>
        </w:rPr>
      </w:pPr>
      <w:r w:rsidRPr="007D698A">
        <w:rPr>
          <w:rFonts w:ascii="Verdana" w:eastAsia="Times New Roman" w:hAnsi="Verdana"/>
          <w:sz w:val="20"/>
          <w:szCs w:val="20"/>
        </w:rPr>
        <w:t xml:space="preserve">RUNCIMAN, D. </w:t>
      </w:r>
      <w:r w:rsidRPr="007D698A">
        <w:rPr>
          <w:rFonts w:ascii="Verdana" w:eastAsia="Times New Roman" w:hAnsi="Verdana"/>
          <w:i/>
          <w:iCs/>
          <w:sz w:val="20"/>
          <w:szCs w:val="20"/>
        </w:rPr>
        <w:t>Como a democracia chega ao fim</w:t>
      </w:r>
      <w:r w:rsidRPr="007D698A">
        <w:rPr>
          <w:rFonts w:ascii="Verdana" w:eastAsia="Times New Roman" w:hAnsi="Verdana"/>
          <w:sz w:val="20"/>
          <w:szCs w:val="20"/>
        </w:rPr>
        <w:t>. Tradução FLASKMAN, S., Ed. Todavia, São Paulo, 2018.</w:t>
      </w:r>
    </w:p>
    <w:p w14:paraId="3E253C1A" w14:textId="77777777" w:rsidR="007D698A" w:rsidRPr="007D698A" w:rsidRDefault="007D698A" w:rsidP="007D698A">
      <w:pPr>
        <w:spacing w:after="0" w:line="240" w:lineRule="auto"/>
        <w:ind w:hanging="284"/>
        <w:jc w:val="both"/>
        <w:rPr>
          <w:rFonts w:ascii="Verdana" w:eastAsia="Times New Roman" w:hAnsi="Verdana"/>
          <w:sz w:val="20"/>
          <w:szCs w:val="20"/>
        </w:rPr>
      </w:pPr>
    </w:p>
    <w:p w14:paraId="357F8CDC" w14:textId="77777777" w:rsidR="007D698A" w:rsidRPr="007D698A" w:rsidRDefault="007D698A" w:rsidP="007D698A">
      <w:pPr>
        <w:spacing w:after="0" w:line="240" w:lineRule="auto"/>
        <w:ind w:hanging="284"/>
        <w:jc w:val="both"/>
        <w:rPr>
          <w:rFonts w:ascii="Verdana" w:eastAsia="Times New Roman" w:hAnsi="Verdana"/>
          <w:sz w:val="20"/>
          <w:szCs w:val="20"/>
        </w:rPr>
      </w:pPr>
      <w:r w:rsidRPr="007D698A">
        <w:rPr>
          <w:rFonts w:ascii="Verdana" w:eastAsia="Times New Roman" w:hAnsi="Verdana"/>
          <w:sz w:val="20"/>
          <w:szCs w:val="20"/>
        </w:rPr>
        <w:t xml:space="preserve">SOUSA SANTOS, B. </w:t>
      </w:r>
      <w:r w:rsidRPr="007D698A">
        <w:rPr>
          <w:rFonts w:ascii="Verdana" w:eastAsia="Times New Roman" w:hAnsi="Verdana"/>
          <w:bCs/>
          <w:i/>
          <w:iCs/>
          <w:sz w:val="20"/>
          <w:szCs w:val="20"/>
        </w:rPr>
        <w:t>Pela mão de Alice</w:t>
      </w:r>
      <w:r w:rsidRPr="007D698A">
        <w:rPr>
          <w:rFonts w:ascii="Verdana" w:eastAsia="Times New Roman" w:hAnsi="Verdana"/>
          <w:b/>
          <w:i/>
          <w:iCs/>
          <w:sz w:val="20"/>
          <w:szCs w:val="20"/>
        </w:rPr>
        <w:t xml:space="preserve">. </w:t>
      </w:r>
      <w:r w:rsidRPr="007D698A">
        <w:rPr>
          <w:rFonts w:ascii="Verdana" w:eastAsia="Times New Roman" w:hAnsi="Verdana"/>
          <w:i/>
          <w:iCs/>
          <w:sz w:val="20"/>
          <w:szCs w:val="20"/>
        </w:rPr>
        <w:t>O social e o político na pós-modernidade</w:t>
      </w:r>
      <w:r w:rsidRPr="007D698A">
        <w:rPr>
          <w:rFonts w:ascii="Verdana" w:eastAsia="Times New Roman" w:hAnsi="Verdana"/>
          <w:sz w:val="20"/>
          <w:szCs w:val="20"/>
        </w:rPr>
        <w:t xml:space="preserve">. 13. </w:t>
      </w:r>
      <w:proofErr w:type="spellStart"/>
      <w:r w:rsidRPr="007D698A">
        <w:rPr>
          <w:rFonts w:ascii="Verdana" w:eastAsia="Times New Roman" w:hAnsi="Verdana"/>
          <w:sz w:val="20"/>
          <w:szCs w:val="20"/>
        </w:rPr>
        <w:t>ed</w:t>
      </w:r>
      <w:proofErr w:type="spellEnd"/>
      <w:r w:rsidRPr="007D698A">
        <w:rPr>
          <w:rFonts w:ascii="Verdana" w:eastAsia="Times New Roman" w:hAnsi="Verdana"/>
          <w:sz w:val="20"/>
          <w:szCs w:val="20"/>
        </w:rPr>
        <w:t>, Cortez, São Paulo, 2013.</w:t>
      </w:r>
    </w:p>
    <w:p w14:paraId="794B9E79" w14:textId="77777777" w:rsidR="007D698A" w:rsidRPr="007D698A" w:rsidRDefault="007D698A" w:rsidP="007D698A">
      <w:pPr>
        <w:spacing w:after="0" w:line="240" w:lineRule="auto"/>
        <w:ind w:hanging="284"/>
        <w:jc w:val="both"/>
        <w:rPr>
          <w:rFonts w:ascii="Verdana" w:eastAsia="Times New Roman" w:hAnsi="Verdana"/>
          <w:sz w:val="20"/>
          <w:szCs w:val="20"/>
        </w:rPr>
      </w:pPr>
    </w:p>
    <w:p w14:paraId="650B7DE4" w14:textId="77777777" w:rsidR="007D698A" w:rsidRPr="007D698A" w:rsidRDefault="007D698A" w:rsidP="007D698A">
      <w:pPr>
        <w:spacing w:after="0" w:line="240" w:lineRule="auto"/>
        <w:ind w:hanging="284"/>
        <w:jc w:val="both"/>
        <w:rPr>
          <w:rFonts w:ascii="Verdana" w:eastAsia="Times New Roman" w:hAnsi="Verdana"/>
          <w:sz w:val="20"/>
          <w:szCs w:val="20"/>
        </w:rPr>
      </w:pPr>
      <w:r w:rsidRPr="007D698A">
        <w:rPr>
          <w:rFonts w:ascii="Verdana" w:eastAsia="Times New Roman" w:hAnsi="Verdana"/>
          <w:sz w:val="20"/>
          <w:szCs w:val="20"/>
        </w:rPr>
        <w:t>SANTOS, M. L</w:t>
      </w:r>
      <w:r w:rsidRPr="007D698A">
        <w:rPr>
          <w:rFonts w:ascii="Verdana" w:eastAsia="Times New Roman" w:hAnsi="Verdana"/>
          <w:i/>
          <w:iCs/>
          <w:sz w:val="20"/>
          <w:szCs w:val="20"/>
        </w:rPr>
        <w:t>. O parlamento sob influência: o lobby da indústria na Câmara dos Deputados</w:t>
      </w:r>
      <w:r w:rsidRPr="007D698A">
        <w:rPr>
          <w:rFonts w:ascii="Verdana" w:eastAsia="Times New Roman" w:hAnsi="Verdana"/>
          <w:sz w:val="20"/>
          <w:szCs w:val="20"/>
        </w:rPr>
        <w:t xml:space="preserve">. </w:t>
      </w:r>
      <w:r w:rsidRPr="007D698A">
        <w:rPr>
          <w:rFonts w:ascii="Verdana" w:eastAsia="Times New Roman" w:hAnsi="Verdana"/>
          <w:bCs/>
          <w:sz w:val="20"/>
          <w:szCs w:val="20"/>
        </w:rPr>
        <w:t>Tese de doutorado</w:t>
      </w:r>
      <w:r w:rsidRPr="007D698A">
        <w:rPr>
          <w:rFonts w:ascii="Verdana" w:eastAsia="Times New Roman" w:hAnsi="Verdana"/>
          <w:sz w:val="20"/>
          <w:szCs w:val="20"/>
        </w:rPr>
        <w:t>. Recife, Universidade Federal de Pernambuco, 2011.</w:t>
      </w:r>
    </w:p>
    <w:p w14:paraId="04E99070" w14:textId="77777777" w:rsidR="007D698A" w:rsidRPr="007D698A" w:rsidRDefault="007D698A" w:rsidP="007D698A">
      <w:pPr>
        <w:spacing w:after="0" w:line="240" w:lineRule="auto"/>
        <w:ind w:hanging="284"/>
        <w:jc w:val="both"/>
        <w:rPr>
          <w:rFonts w:ascii="Verdana" w:eastAsia="Times New Roman" w:hAnsi="Verdana"/>
          <w:sz w:val="20"/>
          <w:szCs w:val="20"/>
        </w:rPr>
      </w:pPr>
    </w:p>
    <w:p w14:paraId="0F56CECA" w14:textId="77777777" w:rsidR="007D698A" w:rsidRPr="007D698A" w:rsidRDefault="007D698A" w:rsidP="007D698A">
      <w:pPr>
        <w:spacing w:after="0" w:line="240" w:lineRule="auto"/>
        <w:ind w:hanging="284"/>
        <w:jc w:val="both"/>
        <w:rPr>
          <w:rFonts w:ascii="Verdana" w:eastAsia="Times New Roman" w:hAnsi="Verdana"/>
          <w:sz w:val="20"/>
          <w:szCs w:val="20"/>
        </w:rPr>
      </w:pPr>
      <w:r w:rsidRPr="007D698A">
        <w:rPr>
          <w:rFonts w:ascii="Verdana" w:eastAsia="Times New Roman" w:hAnsi="Verdana"/>
          <w:sz w:val="20"/>
          <w:szCs w:val="20"/>
        </w:rPr>
        <w:t>SASSEN, S</w:t>
      </w:r>
      <w:r w:rsidRPr="007D698A">
        <w:rPr>
          <w:rFonts w:ascii="Verdana" w:eastAsia="Times New Roman" w:hAnsi="Verdana"/>
          <w:i/>
          <w:iCs/>
          <w:sz w:val="20"/>
          <w:szCs w:val="20"/>
        </w:rPr>
        <w:t xml:space="preserve">. </w:t>
      </w:r>
      <w:r w:rsidRPr="007D698A">
        <w:rPr>
          <w:rFonts w:ascii="Verdana" w:eastAsia="Times New Roman" w:hAnsi="Verdana"/>
          <w:bCs/>
          <w:i/>
          <w:iCs/>
          <w:sz w:val="20"/>
          <w:szCs w:val="20"/>
        </w:rPr>
        <w:t>Expulsões</w:t>
      </w:r>
      <w:r w:rsidRPr="007D698A">
        <w:rPr>
          <w:rFonts w:ascii="Verdana" w:eastAsia="Times New Roman" w:hAnsi="Verdana"/>
          <w:i/>
          <w:iCs/>
          <w:sz w:val="20"/>
          <w:szCs w:val="20"/>
        </w:rPr>
        <w:t>: Brutalidade e complexidade na economia global</w:t>
      </w:r>
      <w:r w:rsidRPr="007D698A">
        <w:rPr>
          <w:rFonts w:ascii="Verdana" w:eastAsia="Times New Roman" w:hAnsi="Verdana"/>
          <w:sz w:val="20"/>
          <w:szCs w:val="20"/>
        </w:rPr>
        <w:t>. Trad. FREITAS, A., Paz e Terra, São Paulo, 2016.</w:t>
      </w:r>
    </w:p>
    <w:p w14:paraId="1047D468" w14:textId="77777777" w:rsidR="007D698A" w:rsidRPr="007D698A" w:rsidRDefault="007D698A" w:rsidP="007D698A">
      <w:pPr>
        <w:autoSpaceDE w:val="0"/>
        <w:autoSpaceDN w:val="0"/>
        <w:adjustRightInd w:val="0"/>
        <w:spacing w:after="0" w:line="240" w:lineRule="auto"/>
        <w:ind w:hanging="284"/>
        <w:jc w:val="both"/>
        <w:rPr>
          <w:rFonts w:ascii="Verdana" w:eastAsia="Times New Roman" w:hAnsi="Verdana"/>
          <w:sz w:val="20"/>
          <w:szCs w:val="20"/>
        </w:rPr>
      </w:pPr>
    </w:p>
    <w:p w14:paraId="2EAC5606" w14:textId="77777777" w:rsidR="007D698A" w:rsidRPr="007D698A" w:rsidRDefault="007D698A" w:rsidP="007D698A">
      <w:pPr>
        <w:autoSpaceDE w:val="0"/>
        <w:autoSpaceDN w:val="0"/>
        <w:adjustRightInd w:val="0"/>
        <w:spacing w:after="0" w:line="240" w:lineRule="auto"/>
        <w:ind w:hanging="284"/>
        <w:jc w:val="both"/>
        <w:rPr>
          <w:rFonts w:ascii="Verdana" w:eastAsia="Times New Roman" w:hAnsi="Verdana"/>
          <w:sz w:val="20"/>
          <w:szCs w:val="20"/>
        </w:rPr>
      </w:pPr>
      <w:r w:rsidRPr="007D698A">
        <w:rPr>
          <w:rFonts w:ascii="Verdana" w:eastAsia="Times New Roman" w:hAnsi="Verdana"/>
          <w:sz w:val="20"/>
          <w:szCs w:val="20"/>
        </w:rPr>
        <w:t xml:space="preserve">SASSEN, S. </w:t>
      </w:r>
      <w:proofErr w:type="spellStart"/>
      <w:r w:rsidRPr="007D698A">
        <w:rPr>
          <w:rFonts w:ascii="Verdana" w:eastAsia="Times New Roman" w:hAnsi="Verdana"/>
          <w:bCs/>
          <w:i/>
          <w:iCs/>
          <w:sz w:val="20"/>
          <w:szCs w:val="20"/>
        </w:rPr>
        <w:t>Territorio</w:t>
      </w:r>
      <w:proofErr w:type="spellEnd"/>
      <w:r w:rsidRPr="007D698A">
        <w:rPr>
          <w:rFonts w:ascii="Verdana" w:eastAsia="Times New Roman" w:hAnsi="Verdana"/>
          <w:bCs/>
          <w:i/>
          <w:iCs/>
          <w:sz w:val="20"/>
          <w:szCs w:val="20"/>
        </w:rPr>
        <w:t xml:space="preserve">, </w:t>
      </w:r>
      <w:proofErr w:type="spellStart"/>
      <w:r w:rsidRPr="007D698A">
        <w:rPr>
          <w:rFonts w:ascii="Verdana" w:eastAsia="Times New Roman" w:hAnsi="Verdana"/>
          <w:bCs/>
          <w:i/>
          <w:iCs/>
          <w:sz w:val="20"/>
          <w:szCs w:val="20"/>
        </w:rPr>
        <w:t>autoridad</w:t>
      </w:r>
      <w:proofErr w:type="spellEnd"/>
      <w:r w:rsidRPr="007D698A">
        <w:rPr>
          <w:rFonts w:ascii="Verdana" w:eastAsia="Times New Roman" w:hAnsi="Verdana"/>
          <w:bCs/>
          <w:i/>
          <w:iCs/>
          <w:sz w:val="20"/>
          <w:szCs w:val="20"/>
        </w:rPr>
        <w:t xml:space="preserve"> y </w:t>
      </w:r>
      <w:proofErr w:type="spellStart"/>
      <w:r w:rsidRPr="007D698A">
        <w:rPr>
          <w:rFonts w:ascii="Verdana" w:eastAsia="Times New Roman" w:hAnsi="Verdana"/>
          <w:bCs/>
          <w:i/>
          <w:iCs/>
          <w:sz w:val="20"/>
          <w:szCs w:val="20"/>
        </w:rPr>
        <w:t>derechos</w:t>
      </w:r>
      <w:proofErr w:type="spellEnd"/>
      <w:r w:rsidRPr="007D698A">
        <w:rPr>
          <w:rFonts w:ascii="Verdana" w:eastAsia="Times New Roman" w:hAnsi="Verdana"/>
          <w:sz w:val="20"/>
          <w:szCs w:val="20"/>
        </w:rPr>
        <w:t xml:space="preserve">. </w:t>
      </w:r>
      <w:r w:rsidRPr="007D698A">
        <w:rPr>
          <w:rFonts w:ascii="Verdana" w:eastAsia="Times New Roman" w:hAnsi="Verdana"/>
          <w:i/>
          <w:iCs/>
          <w:sz w:val="20"/>
          <w:szCs w:val="20"/>
        </w:rPr>
        <w:t xml:space="preserve">De </w:t>
      </w:r>
      <w:proofErr w:type="spellStart"/>
      <w:r w:rsidRPr="007D698A">
        <w:rPr>
          <w:rFonts w:ascii="Verdana" w:eastAsia="Times New Roman" w:hAnsi="Verdana"/>
          <w:i/>
          <w:iCs/>
          <w:sz w:val="20"/>
          <w:szCs w:val="20"/>
        </w:rPr>
        <w:t>los</w:t>
      </w:r>
      <w:proofErr w:type="spellEnd"/>
      <w:r w:rsidRPr="007D698A">
        <w:rPr>
          <w:rFonts w:ascii="Verdana" w:eastAsia="Times New Roman" w:hAnsi="Verdana"/>
          <w:i/>
          <w:iCs/>
          <w:sz w:val="20"/>
          <w:szCs w:val="20"/>
        </w:rPr>
        <w:t xml:space="preserve"> </w:t>
      </w:r>
      <w:proofErr w:type="spellStart"/>
      <w:r w:rsidRPr="007D698A">
        <w:rPr>
          <w:rFonts w:ascii="Verdana" w:eastAsia="Times New Roman" w:hAnsi="Verdana"/>
          <w:i/>
          <w:iCs/>
          <w:sz w:val="20"/>
          <w:szCs w:val="20"/>
        </w:rPr>
        <w:t>ensamblajes</w:t>
      </w:r>
      <w:proofErr w:type="spellEnd"/>
      <w:r w:rsidRPr="007D698A">
        <w:rPr>
          <w:rFonts w:ascii="Verdana" w:eastAsia="Times New Roman" w:hAnsi="Verdana"/>
          <w:i/>
          <w:iCs/>
          <w:sz w:val="20"/>
          <w:szCs w:val="20"/>
        </w:rPr>
        <w:t xml:space="preserve"> </w:t>
      </w:r>
      <w:proofErr w:type="spellStart"/>
      <w:r w:rsidRPr="007D698A">
        <w:rPr>
          <w:rFonts w:ascii="Verdana" w:eastAsia="Times New Roman" w:hAnsi="Verdana"/>
          <w:i/>
          <w:iCs/>
          <w:sz w:val="20"/>
          <w:szCs w:val="20"/>
        </w:rPr>
        <w:t>medievales</w:t>
      </w:r>
      <w:proofErr w:type="spellEnd"/>
      <w:r w:rsidRPr="007D698A">
        <w:rPr>
          <w:rFonts w:ascii="Verdana" w:eastAsia="Times New Roman" w:hAnsi="Verdana"/>
          <w:i/>
          <w:iCs/>
          <w:sz w:val="20"/>
          <w:szCs w:val="20"/>
        </w:rPr>
        <w:t xml:space="preserve"> a </w:t>
      </w:r>
      <w:proofErr w:type="spellStart"/>
      <w:r w:rsidRPr="007D698A">
        <w:rPr>
          <w:rFonts w:ascii="Verdana" w:eastAsia="Times New Roman" w:hAnsi="Verdana"/>
          <w:i/>
          <w:iCs/>
          <w:sz w:val="20"/>
          <w:szCs w:val="20"/>
        </w:rPr>
        <w:t>los</w:t>
      </w:r>
      <w:proofErr w:type="spellEnd"/>
      <w:r w:rsidRPr="007D698A">
        <w:rPr>
          <w:rFonts w:ascii="Verdana" w:eastAsia="Times New Roman" w:hAnsi="Verdana"/>
          <w:i/>
          <w:iCs/>
          <w:sz w:val="20"/>
          <w:szCs w:val="20"/>
        </w:rPr>
        <w:t xml:space="preserve"> </w:t>
      </w:r>
      <w:proofErr w:type="spellStart"/>
      <w:r w:rsidRPr="007D698A">
        <w:rPr>
          <w:rFonts w:ascii="Verdana" w:eastAsia="Times New Roman" w:hAnsi="Verdana"/>
          <w:i/>
          <w:iCs/>
          <w:sz w:val="20"/>
          <w:szCs w:val="20"/>
        </w:rPr>
        <w:t>ensamblajes</w:t>
      </w:r>
      <w:proofErr w:type="spellEnd"/>
      <w:r w:rsidRPr="007D698A">
        <w:rPr>
          <w:rFonts w:ascii="Verdana" w:eastAsia="Times New Roman" w:hAnsi="Verdana"/>
          <w:i/>
          <w:iCs/>
          <w:sz w:val="20"/>
          <w:szCs w:val="20"/>
        </w:rPr>
        <w:t xml:space="preserve"> </w:t>
      </w:r>
      <w:proofErr w:type="spellStart"/>
      <w:r w:rsidRPr="007D698A">
        <w:rPr>
          <w:rFonts w:ascii="Verdana" w:eastAsia="Times New Roman" w:hAnsi="Verdana"/>
          <w:i/>
          <w:iCs/>
          <w:sz w:val="20"/>
          <w:szCs w:val="20"/>
        </w:rPr>
        <w:t>globales</w:t>
      </w:r>
      <w:proofErr w:type="spellEnd"/>
      <w:r w:rsidRPr="007D698A">
        <w:rPr>
          <w:rFonts w:ascii="Verdana" w:eastAsia="Times New Roman" w:hAnsi="Verdana"/>
          <w:sz w:val="20"/>
          <w:szCs w:val="20"/>
        </w:rPr>
        <w:t>, Katz, Buenos Aires, 2015.</w:t>
      </w:r>
    </w:p>
    <w:p w14:paraId="246CFF85" w14:textId="77777777" w:rsidR="007D698A" w:rsidRPr="007D698A" w:rsidRDefault="007D698A" w:rsidP="007D698A">
      <w:pPr>
        <w:spacing w:after="0" w:line="240" w:lineRule="auto"/>
        <w:ind w:hanging="284"/>
        <w:jc w:val="both"/>
        <w:rPr>
          <w:rFonts w:ascii="Verdana" w:eastAsia="Times New Roman" w:hAnsi="Verdana"/>
          <w:sz w:val="20"/>
          <w:szCs w:val="20"/>
        </w:rPr>
      </w:pPr>
    </w:p>
    <w:p w14:paraId="049354E8" w14:textId="77777777" w:rsidR="007D698A" w:rsidRPr="007D698A" w:rsidRDefault="007D698A" w:rsidP="007D698A">
      <w:pPr>
        <w:spacing w:after="0" w:line="240" w:lineRule="auto"/>
        <w:ind w:hanging="284"/>
        <w:jc w:val="both"/>
        <w:rPr>
          <w:rFonts w:ascii="Verdana" w:eastAsia="Times New Roman" w:hAnsi="Verdana"/>
          <w:sz w:val="20"/>
          <w:szCs w:val="20"/>
        </w:rPr>
      </w:pPr>
      <w:r w:rsidRPr="007D698A">
        <w:rPr>
          <w:rFonts w:ascii="Verdana" w:eastAsia="Times New Roman" w:hAnsi="Verdana"/>
          <w:sz w:val="20"/>
          <w:szCs w:val="20"/>
        </w:rPr>
        <w:t xml:space="preserve">STAFFEN, M. R. </w:t>
      </w:r>
      <w:r w:rsidRPr="007D698A">
        <w:rPr>
          <w:rFonts w:ascii="Verdana" w:eastAsia="Times New Roman" w:hAnsi="Verdana"/>
          <w:bCs/>
          <w:i/>
          <w:iCs/>
          <w:sz w:val="20"/>
          <w:szCs w:val="20"/>
        </w:rPr>
        <w:t>Interfaces do direito global</w:t>
      </w:r>
      <w:r w:rsidRPr="007D698A">
        <w:rPr>
          <w:rFonts w:ascii="Verdana" w:eastAsia="Times New Roman" w:hAnsi="Verdana"/>
          <w:sz w:val="20"/>
          <w:szCs w:val="20"/>
        </w:rPr>
        <w:t xml:space="preserve">. 2. </w:t>
      </w:r>
      <w:proofErr w:type="spellStart"/>
      <w:r w:rsidRPr="007D698A">
        <w:rPr>
          <w:rFonts w:ascii="Verdana" w:eastAsia="Times New Roman" w:hAnsi="Verdana"/>
          <w:sz w:val="20"/>
          <w:szCs w:val="20"/>
        </w:rPr>
        <w:t>ed</w:t>
      </w:r>
      <w:proofErr w:type="spellEnd"/>
      <w:r w:rsidRPr="007D698A">
        <w:rPr>
          <w:rFonts w:ascii="Verdana" w:eastAsia="Times New Roman" w:hAnsi="Verdana"/>
          <w:sz w:val="20"/>
          <w:szCs w:val="20"/>
        </w:rPr>
        <w:t xml:space="preserve">, </w:t>
      </w:r>
      <w:proofErr w:type="spellStart"/>
      <w:r w:rsidRPr="007D698A">
        <w:rPr>
          <w:rFonts w:ascii="Verdana" w:eastAsia="Times New Roman" w:hAnsi="Verdana"/>
          <w:sz w:val="20"/>
          <w:szCs w:val="20"/>
        </w:rPr>
        <w:t>Lumen</w:t>
      </w:r>
      <w:proofErr w:type="spellEnd"/>
      <w:r w:rsidRPr="007D698A">
        <w:rPr>
          <w:rFonts w:ascii="Verdana" w:eastAsia="Times New Roman" w:hAnsi="Verdana"/>
          <w:sz w:val="20"/>
          <w:szCs w:val="20"/>
        </w:rPr>
        <w:t xml:space="preserve"> Juris, Rio de Janeiro, 2018.</w:t>
      </w:r>
    </w:p>
    <w:p w14:paraId="232CF59D" w14:textId="77777777" w:rsidR="007D698A" w:rsidRPr="007D698A" w:rsidRDefault="007D698A" w:rsidP="007D698A">
      <w:pPr>
        <w:spacing w:after="0" w:line="240" w:lineRule="auto"/>
        <w:ind w:hanging="284"/>
        <w:jc w:val="both"/>
        <w:rPr>
          <w:rFonts w:ascii="Verdana" w:eastAsia="Times New Roman" w:hAnsi="Verdana"/>
          <w:color w:val="0000FF"/>
          <w:sz w:val="20"/>
          <w:szCs w:val="20"/>
          <w:u w:val="single"/>
        </w:rPr>
      </w:pPr>
    </w:p>
    <w:p w14:paraId="0ED75DC2" w14:textId="77777777" w:rsidR="007D698A" w:rsidRPr="007D698A" w:rsidRDefault="007D698A" w:rsidP="007D698A">
      <w:pPr>
        <w:spacing w:after="0" w:line="240" w:lineRule="auto"/>
        <w:ind w:hanging="284"/>
        <w:jc w:val="both"/>
        <w:rPr>
          <w:rFonts w:ascii="Verdana" w:eastAsia="Times New Roman" w:hAnsi="Verdana"/>
          <w:sz w:val="20"/>
          <w:szCs w:val="20"/>
        </w:rPr>
      </w:pPr>
      <w:r w:rsidRPr="007D698A">
        <w:rPr>
          <w:rFonts w:ascii="Verdana" w:eastAsia="Times New Roman" w:hAnsi="Verdana"/>
          <w:sz w:val="20"/>
          <w:szCs w:val="20"/>
        </w:rPr>
        <w:t xml:space="preserve">STIGLITZ, Joseph E. </w:t>
      </w:r>
      <w:r w:rsidRPr="007D698A">
        <w:rPr>
          <w:rFonts w:ascii="Verdana" w:eastAsia="Times New Roman" w:hAnsi="Verdana"/>
          <w:bCs/>
          <w:i/>
          <w:iCs/>
          <w:sz w:val="20"/>
          <w:szCs w:val="20"/>
        </w:rPr>
        <w:t>O preço da desigualdade</w:t>
      </w:r>
      <w:r w:rsidRPr="007D698A">
        <w:rPr>
          <w:rFonts w:ascii="Verdana" w:eastAsia="Times New Roman" w:hAnsi="Verdana"/>
          <w:sz w:val="20"/>
          <w:szCs w:val="20"/>
        </w:rPr>
        <w:t>. Trad. PIRES, D., Bertrand, Lisboa, 2016.</w:t>
      </w:r>
    </w:p>
    <w:p w14:paraId="77348728" w14:textId="77777777" w:rsidR="007D698A" w:rsidRPr="007D698A" w:rsidRDefault="007D698A" w:rsidP="007D698A">
      <w:pPr>
        <w:spacing w:after="0" w:line="240" w:lineRule="auto"/>
        <w:ind w:hanging="284"/>
        <w:jc w:val="both"/>
        <w:rPr>
          <w:rFonts w:ascii="Verdana" w:eastAsia="Times New Roman" w:hAnsi="Verdana"/>
          <w:sz w:val="20"/>
          <w:szCs w:val="20"/>
        </w:rPr>
      </w:pPr>
    </w:p>
    <w:p w14:paraId="353205C3" w14:textId="77777777" w:rsidR="007D698A" w:rsidRPr="007D698A" w:rsidRDefault="007D698A" w:rsidP="007D698A">
      <w:pPr>
        <w:spacing w:after="0" w:line="240" w:lineRule="auto"/>
        <w:ind w:hanging="284"/>
        <w:jc w:val="both"/>
        <w:rPr>
          <w:rFonts w:ascii="Verdana" w:eastAsia="Times New Roman" w:hAnsi="Verdana"/>
          <w:sz w:val="20"/>
          <w:szCs w:val="20"/>
        </w:rPr>
      </w:pPr>
      <w:r w:rsidRPr="007D698A">
        <w:rPr>
          <w:rFonts w:ascii="Verdana" w:eastAsia="Times New Roman" w:hAnsi="Verdana"/>
          <w:sz w:val="20"/>
          <w:szCs w:val="20"/>
          <w:lang w:val="en-US"/>
        </w:rPr>
        <w:t xml:space="preserve">THE GUARDIAN. </w:t>
      </w:r>
      <w:r w:rsidRPr="007D698A">
        <w:rPr>
          <w:rFonts w:ascii="Verdana" w:eastAsia="Times New Roman" w:hAnsi="Verdana"/>
          <w:bCs/>
          <w:i/>
          <w:iCs/>
          <w:sz w:val="20"/>
          <w:szCs w:val="20"/>
          <w:lang w:val="en-US"/>
        </w:rPr>
        <w:t>How Google Enlisted Members of the US Congress</w:t>
      </w:r>
      <w:r w:rsidRPr="007D698A">
        <w:rPr>
          <w:rFonts w:ascii="Verdana" w:eastAsia="Times New Roman" w:hAnsi="Verdana"/>
          <w:sz w:val="20"/>
          <w:szCs w:val="20"/>
          <w:lang w:val="en-US"/>
        </w:rPr>
        <w:t xml:space="preserve">, </w:t>
      </w:r>
      <w:r w:rsidRPr="007D698A">
        <w:rPr>
          <w:rFonts w:ascii="Verdana" w:eastAsia="Times New Roman" w:hAnsi="Verdana"/>
          <w:iCs/>
          <w:sz w:val="20"/>
          <w:szCs w:val="20"/>
          <w:lang w:val="en-US"/>
        </w:rPr>
        <w:t xml:space="preserve">2015. </w:t>
      </w:r>
      <w:r w:rsidRPr="007D698A">
        <w:rPr>
          <w:rFonts w:ascii="Verdana" w:eastAsia="Times New Roman" w:hAnsi="Verdana"/>
          <w:iCs/>
          <w:sz w:val="20"/>
          <w:szCs w:val="20"/>
        </w:rPr>
        <w:t>Disponível em: &lt;</w:t>
      </w:r>
      <w:r w:rsidRPr="007D698A">
        <w:rPr>
          <w:rFonts w:ascii="Verdana" w:eastAsia="Times New Roman" w:hAnsi="Verdana"/>
          <w:sz w:val="20"/>
          <w:szCs w:val="20"/>
        </w:rPr>
        <w:t xml:space="preserve">https://www.theguardian.com/world/2015/dec/17/ </w:t>
      </w:r>
      <w:proofErr w:type="spellStart"/>
      <w:r w:rsidRPr="007D698A">
        <w:rPr>
          <w:rFonts w:ascii="Verdana" w:eastAsia="Times New Roman" w:hAnsi="Verdana"/>
          <w:sz w:val="20"/>
          <w:szCs w:val="20"/>
        </w:rPr>
        <w:t>google</w:t>
      </w:r>
      <w:proofErr w:type="spellEnd"/>
      <w:r w:rsidRPr="007D698A">
        <w:rPr>
          <w:rFonts w:ascii="Verdana" w:eastAsia="Times New Roman" w:hAnsi="Verdana"/>
          <w:sz w:val="20"/>
          <w:szCs w:val="20"/>
        </w:rPr>
        <w:t>-</w:t>
      </w:r>
      <w:proofErr w:type="spellStart"/>
      <w:r w:rsidRPr="007D698A">
        <w:rPr>
          <w:rFonts w:ascii="Verdana" w:eastAsia="Times New Roman" w:hAnsi="Verdana"/>
          <w:sz w:val="20"/>
          <w:szCs w:val="20"/>
        </w:rPr>
        <w:t>lobbyists</w:t>
      </w:r>
      <w:proofErr w:type="spellEnd"/>
      <w:r w:rsidRPr="007D698A">
        <w:rPr>
          <w:rFonts w:ascii="Verdana" w:eastAsia="Times New Roman" w:hAnsi="Verdana"/>
          <w:sz w:val="20"/>
          <w:szCs w:val="20"/>
        </w:rPr>
        <w:t>-</w:t>
      </w:r>
      <w:proofErr w:type="spellStart"/>
      <w:r w:rsidRPr="007D698A">
        <w:rPr>
          <w:rFonts w:ascii="Verdana" w:eastAsia="Times New Roman" w:hAnsi="Verdana"/>
          <w:sz w:val="20"/>
          <w:szCs w:val="20"/>
        </w:rPr>
        <w:t>congress</w:t>
      </w:r>
      <w:proofErr w:type="spellEnd"/>
      <w:r w:rsidRPr="007D698A">
        <w:rPr>
          <w:rFonts w:ascii="Verdana" w:eastAsia="Times New Roman" w:hAnsi="Verdana"/>
          <w:sz w:val="20"/>
          <w:szCs w:val="20"/>
        </w:rPr>
        <w:t>-</w:t>
      </w:r>
      <w:proofErr w:type="spellStart"/>
      <w:r w:rsidRPr="007D698A">
        <w:rPr>
          <w:rFonts w:ascii="Verdana" w:eastAsia="Times New Roman" w:hAnsi="Verdana"/>
          <w:sz w:val="20"/>
          <w:szCs w:val="20"/>
        </w:rPr>
        <w:t>antitrust</w:t>
      </w:r>
      <w:proofErr w:type="spellEnd"/>
      <w:r w:rsidRPr="007D698A">
        <w:rPr>
          <w:rFonts w:ascii="Verdana" w:eastAsia="Times New Roman" w:hAnsi="Verdana"/>
          <w:sz w:val="20"/>
          <w:szCs w:val="20"/>
        </w:rPr>
        <w:t>-</w:t>
      </w:r>
      <w:proofErr w:type="spellStart"/>
      <w:r w:rsidRPr="007D698A">
        <w:rPr>
          <w:rFonts w:ascii="Verdana" w:eastAsia="Times New Roman" w:hAnsi="Verdana"/>
          <w:sz w:val="20"/>
          <w:szCs w:val="20"/>
        </w:rPr>
        <w:t>brussels</w:t>
      </w:r>
      <w:proofErr w:type="spellEnd"/>
      <w:r w:rsidRPr="007D698A">
        <w:rPr>
          <w:rFonts w:ascii="Verdana" w:eastAsia="Times New Roman" w:hAnsi="Verdana"/>
          <w:sz w:val="20"/>
          <w:szCs w:val="20"/>
        </w:rPr>
        <w:t>-eu&gt;. Acesso em: 02 dez. 2020.</w:t>
      </w:r>
    </w:p>
    <w:p w14:paraId="5B13E9F9" w14:textId="77777777" w:rsidR="007D698A" w:rsidRPr="007D698A" w:rsidRDefault="007D698A" w:rsidP="007D698A">
      <w:pPr>
        <w:spacing w:after="0" w:line="240" w:lineRule="auto"/>
        <w:ind w:hanging="284"/>
        <w:jc w:val="both"/>
        <w:rPr>
          <w:rFonts w:ascii="Verdana" w:eastAsia="Times New Roman" w:hAnsi="Verdana"/>
          <w:sz w:val="20"/>
          <w:szCs w:val="20"/>
        </w:rPr>
      </w:pPr>
    </w:p>
    <w:p w14:paraId="2603D105" w14:textId="77777777" w:rsidR="007D698A" w:rsidRPr="007D698A" w:rsidRDefault="007D698A" w:rsidP="007D698A">
      <w:pPr>
        <w:spacing w:after="0" w:line="240" w:lineRule="auto"/>
        <w:ind w:hanging="284"/>
        <w:jc w:val="both"/>
        <w:rPr>
          <w:rFonts w:ascii="Verdana" w:eastAsia="Times New Roman" w:hAnsi="Verdana"/>
          <w:sz w:val="20"/>
          <w:szCs w:val="20"/>
        </w:rPr>
      </w:pPr>
      <w:r w:rsidRPr="007D698A">
        <w:rPr>
          <w:rFonts w:ascii="Verdana" w:eastAsia="Times New Roman" w:hAnsi="Verdana"/>
          <w:sz w:val="20"/>
          <w:szCs w:val="20"/>
        </w:rPr>
        <w:t xml:space="preserve">THE INTERCEPT BRASIL. </w:t>
      </w:r>
      <w:r w:rsidRPr="007D698A">
        <w:rPr>
          <w:rFonts w:ascii="Verdana" w:eastAsia="Times New Roman" w:hAnsi="Verdana"/>
          <w:bCs/>
          <w:i/>
          <w:iCs/>
          <w:sz w:val="20"/>
          <w:szCs w:val="20"/>
        </w:rPr>
        <w:t>Lobistas de bancos, indústrias e transportes estão por trás das emendas da reforma trabalhista</w:t>
      </w:r>
      <w:r w:rsidRPr="007D698A">
        <w:rPr>
          <w:rFonts w:ascii="Verdana" w:eastAsia="Times New Roman" w:hAnsi="Verdana"/>
          <w:bCs/>
          <w:sz w:val="20"/>
          <w:szCs w:val="20"/>
        </w:rPr>
        <w:t>,</w:t>
      </w:r>
      <w:r w:rsidRPr="007D698A">
        <w:rPr>
          <w:rFonts w:ascii="Verdana" w:eastAsia="Times New Roman" w:hAnsi="Verdana"/>
          <w:b/>
          <w:sz w:val="20"/>
          <w:szCs w:val="20"/>
        </w:rPr>
        <w:t xml:space="preserve"> </w:t>
      </w:r>
      <w:r w:rsidRPr="007D698A">
        <w:rPr>
          <w:rFonts w:ascii="Verdana" w:eastAsia="Times New Roman" w:hAnsi="Verdana"/>
          <w:sz w:val="20"/>
          <w:szCs w:val="20"/>
        </w:rPr>
        <w:t>2017. Disponível em: &lt;https://theintercept.com/2017/04 /26/lobistas-de-bancos-industrias-e-transportes-quem-esta-por-tras-das-emendas-da-reforma-trabalhista/&gt;. Acesso em: 10 dez. 2020.</w:t>
      </w:r>
    </w:p>
    <w:p w14:paraId="7B76854E" w14:textId="77777777" w:rsidR="007D698A" w:rsidRPr="007D698A" w:rsidRDefault="007D698A" w:rsidP="007D698A">
      <w:pPr>
        <w:spacing w:after="0" w:line="240" w:lineRule="auto"/>
        <w:ind w:hanging="284"/>
        <w:jc w:val="both"/>
        <w:rPr>
          <w:rFonts w:ascii="Verdana" w:eastAsia="Times New Roman" w:hAnsi="Verdana"/>
          <w:sz w:val="20"/>
          <w:szCs w:val="20"/>
        </w:rPr>
      </w:pPr>
    </w:p>
    <w:p w14:paraId="0CE4EF09" w14:textId="77777777" w:rsidR="007D698A" w:rsidRPr="007D698A" w:rsidRDefault="007D698A" w:rsidP="007D698A">
      <w:pPr>
        <w:spacing w:after="0" w:line="240" w:lineRule="auto"/>
        <w:ind w:hanging="284"/>
        <w:jc w:val="both"/>
        <w:rPr>
          <w:rFonts w:ascii="Verdana" w:eastAsia="Times New Roman" w:hAnsi="Verdana"/>
          <w:sz w:val="20"/>
          <w:szCs w:val="20"/>
        </w:rPr>
      </w:pPr>
      <w:r w:rsidRPr="007D698A">
        <w:rPr>
          <w:rFonts w:ascii="Verdana" w:eastAsia="Times New Roman" w:hAnsi="Verdana"/>
          <w:sz w:val="20"/>
          <w:szCs w:val="20"/>
        </w:rPr>
        <w:t xml:space="preserve">TOURAINE, A. </w:t>
      </w:r>
      <w:r w:rsidRPr="007D698A">
        <w:rPr>
          <w:rFonts w:ascii="Verdana" w:eastAsia="Times New Roman" w:hAnsi="Verdana"/>
          <w:bCs/>
          <w:i/>
          <w:iCs/>
          <w:sz w:val="20"/>
          <w:szCs w:val="20"/>
        </w:rPr>
        <w:t>Após a crise. A decomposição da vida social e o surgimento de novos atores não sociais</w:t>
      </w:r>
      <w:r w:rsidRPr="007D698A">
        <w:rPr>
          <w:rFonts w:ascii="Verdana" w:eastAsia="Times New Roman" w:hAnsi="Verdana"/>
          <w:sz w:val="20"/>
          <w:szCs w:val="20"/>
        </w:rPr>
        <w:t>, Vozes, São Paulo, 2011.</w:t>
      </w:r>
    </w:p>
    <w:p w14:paraId="45B2DCC0" w14:textId="77777777" w:rsidR="007D698A" w:rsidRPr="007D698A" w:rsidRDefault="007D698A" w:rsidP="007D698A">
      <w:pPr>
        <w:spacing w:after="0" w:line="240" w:lineRule="auto"/>
        <w:ind w:hanging="284"/>
        <w:jc w:val="both"/>
        <w:rPr>
          <w:rFonts w:ascii="Verdana" w:eastAsia="Times New Roman" w:hAnsi="Verdana"/>
          <w:sz w:val="20"/>
          <w:szCs w:val="20"/>
        </w:rPr>
      </w:pPr>
    </w:p>
    <w:p w14:paraId="79CB793A" w14:textId="77777777" w:rsidR="007D698A" w:rsidRPr="007D698A" w:rsidRDefault="007D698A" w:rsidP="007D698A">
      <w:pPr>
        <w:spacing w:after="0" w:line="240" w:lineRule="auto"/>
        <w:ind w:hanging="284"/>
        <w:jc w:val="both"/>
        <w:rPr>
          <w:rFonts w:ascii="Verdana" w:eastAsia="Times New Roman" w:hAnsi="Verdana"/>
          <w:sz w:val="20"/>
          <w:szCs w:val="20"/>
        </w:rPr>
      </w:pPr>
      <w:r w:rsidRPr="007D698A">
        <w:rPr>
          <w:rFonts w:ascii="Verdana" w:eastAsia="Times New Roman" w:hAnsi="Verdana"/>
          <w:sz w:val="20"/>
          <w:szCs w:val="20"/>
        </w:rPr>
        <w:t xml:space="preserve">TSE, Tribunal Superior Eleitoral. </w:t>
      </w:r>
      <w:r w:rsidRPr="007D698A">
        <w:rPr>
          <w:rFonts w:ascii="Verdana" w:eastAsia="Times New Roman" w:hAnsi="Verdana"/>
          <w:bCs/>
          <w:i/>
          <w:iCs/>
          <w:sz w:val="20"/>
          <w:szCs w:val="20"/>
        </w:rPr>
        <w:t>Prestação de contas da campanha eleitoral, 2018</w:t>
      </w:r>
      <w:r w:rsidRPr="007D698A">
        <w:rPr>
          <w:rFonts w:ascii="Verdana" w:eastAsia="Times New Roman" w:hAnsi="Verdana"/>
          <w:sz w:val="20"/>
          <w:szCs w:val="20"/>
        </w:rPr>
        <w:t>. Disponível em:&lt;http://divulgacandcontas.tse.jus.br/divulga/#/consulta/doadores-fornecedores/2022802018/individual/41232178853&gt;. Acesso em: 09 dez. 2020.</w:t>
      </w:r>
    </w:p>
    <w:p w14:paraId="0DF6B137" w14:textId="77777777" w:rsidR="007D698A" w:rsidRPr="007D698A" w:rsidRDefault="007D698A" w:rsidP="007D698A">
      <w:pPr>
        <w:spacing w:after="0" w:line="240" w:lineRule="auto"/>
        <w:ind w:hanging="284"/>
        <w:jc w:val="both"/>
        <w:rPr>
          <w:rFonts w:ascii="Verdana" w:eastAsia="Times New Roman" w:hAnsi="Verdana"/>
          <w:color w:val="0000FF"/>
          <w:sz w:val="20"/>
          <w:szCs w:val="20"/>
          <w:u w:val="single"/>
        </w:rPr>
      </w:pPr>
    </w:p>
    <w:p w14:paraId="4BF94A4B" w14:textId="77777777" w:rsidR="007D698A" w:rsidRPr="007D698A" w:rsidRDefault="007D698A" w:rsidP="007D698A">
      <w:pPr>
        <w:spacing w:after="0" w:line="240" w:lineRule="auto"/>
        <w:rPr>
          <w:rFonts w:ascii="Verdana" w:eastAsia="Times New Roman" w:hAnsi="Verdana"/>
          <w:color w:val="4F81BD"/>
          <w:sz w:val="20"/>
          <w:szCs w:val="20"/>
        </w:rPr>
      </w:pPr>
    </w:p>
    <w:p w14:paraId="32B51BC0" w14:textId="3C3116BB" w:rsidR="00297F18" w:rsidRDefault="00297F18" w:rsidP="00297F18">
      <w:pPr>
        <w:spacing w:after="0" w:line="240" w:lineRule="auto"/>
        <w:jc w:val="both"/>
        <w:rPr>
          <w:rFonts w:ascii="Verdana" w:hAnsi="Verdana"/>
          <w:color w:val="000000" w:themeColor="text1"/>
          <w:sz w:val="20"/>
          <w:szCs w:val="20"/>
          <w:lang w:val="es-ES_tradnl"/>
        </w:rPr>
      </w:pPr>
    </w:p>
    <w:p w14:paraId="4241DD19" w14:textId="73CBE7C3" w:rsidR="00BD7AA6" w:rsidRDefault="00BD7AA6" w:rsidP="00297F18">
      <w:pPr>
        <w:spacing w:after="0" w:line="240" w:lineRule="auto"/>
        <w:jc w:val="both"/>
        <w:rPr>
          <w:rFonts w:ascii="Verdana" w:hAnsi="Verdana"/>
          <w:color w:val="000000" w:themeColor="text1"/>
          <w:sz w:val="20"/>
          <w:szCs w:val="20"/>
          <w:lang w:val="es-ES_tradnl"/>
        </w:rPr>
      </w:pPr>
    </w:p>
    <w:p w14:paraId="70872251" w14:textId="0B3C6EA5" w:rsidR="00BD7AA6" w:rsidRDefault="00BD7AA6" w:rsidP="00297F18">
      <w:pPr>
        <w:spacing w:after="0" w:line="240" w:lineRule="auto"/>
        <w:jc w:val="both"/>
        <w:rPr>
          <w:rFonts w:ascii="Verdana" w:hAnsi="Verdana"/>
          <w:color w:val="000000" w:themeColor="text1"/>
          <w:sz w:val="20"/>
          <w:szCs w:val="20"/>
          <w:lang w:val="es-ES_tradnl"/>
        </w:rPr>
      </w:pPr>
    </w:p>
    <w:p w14:paraId="286D751A" w14:textId="0A323307" w:rsidR="00BD7AA6" w:rsidRDefault="00BD7AA6" w:rsidP="00297F18">
      <w:pPr>
        <w:spacing w:after="0" w:line="240" w:lineRule="auto"/>
        <w:jc w:val="both"/>
        <w:rPr>
          <w:rFonts w:ascii="Verdana" w:hAnsi="Verdana"/>
          <w:color w:val="000000" w:themeColor="text1"/>
          <w:sz w:val="20"/>
          <w:szCs w:val="20"/>
          <w:lang w:val="es-ES_tradnl"/>
        </w:rPr>
      </w:pPr>
    </w:p>
    <w:p w14:paraId="42DC3915" w14:textId="1586B48C" w:rsidR="00BD7AA6" w:rsidRDefault="00BD7AA6" w:rsidP="00297F18">
      <w:pPr>
        <w:spacing w:after="0" w:line="240" w:lineRule="auto"/>
        <w:jc w:val="both"/>
        <w:rPr>
          <w:rFonts w:ascii="Verdana" w:hAnsi="Verdana"/>
          <w:color w:val="000000" w:themeColor="text1"/>
          <w:sz w:val="20"/>
          <w:szCs w:val="20"/>
          <w:lang w:val="es-ES_tradnl"/>
        </w:rPr>
      </w:pPr>
    </w:p>
    <w:p w14:paraId="6BC91122" w14:textId="1BA340FC" w:rsidR="00BD7AA6" w:rsidRDefault="00BD7AA6" w:rsidP="00297F18">
      <w:pPr>
        <w:spacing w:after="0" w:line="240" w:lineRule="auto"/>
        <w:jc w:val="both"/>
        <w:rPr>
          <w:rFonts w:ascii="Verdana" w:hAnsi="Verdana"/>
          <w:color w:val="000000" w:themeColor="text1"/>
          <w:sz w:val="20"/>
          <w:szCs w:val="20"/>
          <w:lang w:val="es-ES_tradnl"/>
        </w:rPr>
      </w:pPr>
    </w:p>
    <w:p w14:paraId="6100D24B" w14:textId="779083C6" w:rsidR="00BD7AA6" w:rsidRDefault="00BD7AA6" w:rsidP="00297F18">
      <w:pPr>
        <w:spacing w:after="0" w:line="240" w:lineRule="auto"/>
        <w:jc w:val="both"/>
        <w:rPr>
          <w:rFonts w:ascii="Verdana" w:hAnsi="Verdana"/>
          <w:color w:val="000000" w:themeColor="text1"/>
          <w:sz w:val="20"/>
          <w:szCs w:val="20"/>
          <w:lang w:val="es-ES_tradnl"/>
        </w:rPr>
      </w:pPr>
    </w:p>
    <w:p w14:paraId="7E1C3EC8" w14:textId="1CA1889A" w:rsidR="00BD7AA6" w:rsidRDefault="00BD7AA6" w:rsidP="00297F18">
      <w:pPr>
        <w:spacing w:after="0" w:line="240" w:lineRule="auto"/>
        <w:jc w:val="both"/>
        <w:rPr>
          <w:rFonts w:ascii="Verdana" w:hAnsi="Verdana"/>
          <w:color w:val="000000" w:themeColor="text1"/>
          <w:sz w:val="20"/>
          <w:szCs w:val="20"/>
          <w:lang w:val="es-ES_tradnl"/>
        </w:rPr>
      </w:pPr>
    </w:p>
    <w:p w14:paraId="7C023EDA" w14:textId="7D323943" w:rsidR="00BD7AA6" w:rsidRDefault="00BD7AA6" w:rsidP="00297F18">
      <w:pPr>
        <w:spacing w:after="0" w:line="240" w:lineRule="auto"/>
        <w:jc w:val="both"/>
        <w:rPr>
          <w:rFonts w:ascii="Verdana" w:hAnsi="Verdana"/>
          <w:color w:val="000000" w:themeColor="text1"/>
          <w:sz w:val="20"/>
          <w:szCs w:val="20"/>
          <w:lang w:val="es-ES_tradnl"/>
        </w:rPr>
      </w:pPr>
    </w:p>
    <w:p w14:paraId="0ACBBA27" w14:textId="44B1128E" w:rsidR="00BD7AA6" w:rsidRDefault="00BD7AA6" w:rsidP="00297F18">
      <w:pPr>
        <w:spacing w:after="0" w:line="240" w:lineRule="auto"/>
        <w:jc w:val="both"/>
        <w:rPr>
          <w:rFonts w:ascii="Verdana" w:hAnsi="Verdana"/>
          <w:color w:val="000000" w:themeColor="text1"/>
          <w:sz w:val="20"/>
          <w:szCs w:val="20"/>
          <w:lang w:val="es-ES_tradnl"/>
        </w:rPr>
      </w:pPr>
    </w:p>
    <w:p w14:paraId="5821A7C1" w14:textId="1E2D6C9C" w:rsidR="00BD7AA6" w:rsidRDefault="00BD7AA6" w:rsidP="00297F18">
      <w:pPr>
        <w:spacing w:after="0" w:line="240" w:lineRule="auto"/>
        <w:jc w:val="both"/>
        <w:rPr>
          <w:rFonts w:ascii="Verdana" w:hAnsi="Verdana"/>
          <w:color w:val="000000" w:themeColor="text1"/>
          <w:sz w:val="20"/>
          <w:szCs w:val="20"/>
          <w:lang w:val="es-ES_tradnl"/>
        </w:rPr>
      </w:pPr>
    </w:p>
    <w:p w14:paraId="4FAC59D0" w14:textId="21FE62CC" w:rsidR="00BD7AA6" w:rsidRDefault="00BD7AA6" w:rsidP="00297F18">
      <w:pPr>
        <w:spacing w:after="0" w:line="240" w:lineRule="auto"/>
        <w:jc w:val="both"/>
        <w:rPr>
          <w:rFonts w:ascii="Verdana" w:hAnsi="Verdana"/>
          <w:color w:val="000000" w:themeColor="text1"/>
          <w:sz w:val="20"/>
          <w:szCs w:val="20"/>
          <w:lang w:val="es-ES_tradnl"/>
        </w:rPr>
      </w:pPr>
    </w:p>
    <w:p w14:paraId="3720E49B" w14:textId="03EEE681" w:rsidR="00BD7AA6" w:rsidRDefault="00BD7AA6" w:rsidP="00297F18">
      <w:pPr>
        <w:spacing w:after="0" w:line="240" w:lineRule="auto"/>
        <w:jc w:val="both"/>
        <w:rPr>
          <w:rFonts w:ascii="Verdana" w:hAnsi="Verdana"/>
          <w:color w:val="000000" w:themeColor="text1"/>
          <w:sz w:val="20"/>
          <w:szCs w:val="20"/>
          <w:lang w:val="es-ES_tradnl"/>
        </w:rPr>
      </w:pPr>
    </w:p>
    <w:p w14:paraId="7F0D8E51" w14:textId="4619C71D" w:rsidR="00BD7AA6" w:rsidRDefault="00BD7AA6" w:rsidP="00297F18">
      <w:pPr>
        <w:spacing w:after="0" w:line="240" w:lineRule="auto"/>
        <w:jc w:val="both"/>
        <w:rPr>
          <w:rFonts w:ascii="Verdana" w:hAnsi="Verdana"/>
          <w:color w:val="000000" w:themeColor="text1"/>
          <w:sz w:val="20"/>
          <w:szCs w:val="20"/>
          <w:lang w:val="es-ES_tradnl"/>
        </w:rPr>
      </w:pPr>
    </w:p>
    <w:p w14:paraId="65F88FF4" w14:textId="0BB77D7A" w:rsidR="00BD7AA6" w:rsidRDefault="00BD7AA6" w:rsidP="00297F18">
      <w:pPr>
        <w:spacing w:after="0" w:line="240" w:lineRule="auto"/>
        <w:jc w:val="both"/>
        <w:rPr>
          <w:rFonts w:ascii="Verdana" w:hAnsi="Verdana"/>
          <w:color w:val="000000" w:themeColor="text1"/>
          <w:sz w:val="20"/>
          <w:szCs w:val="20"/>
          <w:lang w:val="es-ES_tradnl"/>
        </w:rPr>
      </w:pPr>
    </w:p>
    <w:p w14:paraId="19557223" w14:textId="7E0860C2" w:rsidR="00BD7AA6" w:rsidRDefault="00BD7AA6" w:rsidP="00297F18">
      <w:pPr>
        <w:spacing w:after="0" w:line="240" w:lineRule="auto"/>
        <w:jc w:val="both"/>
        <w:rPr>
          <w:rFonts w:ascii="Verdana" w:hAnsi="Verdana"/>
          <w:color w:val="000000" w:themeColor="text1"/>
          <w:sz w:val="20"/>
          <w:szCs w:val="20"/>
          <w:lang w:val="es-ES_tradnl"/>
        </w:rPr>
      </w:pPr>
    </w:p>
    <w:p w14:paraId="2274ED96" w14:textId="7ACB57C0" w:rsidR="00BD7AA6" w:rsidRDefault="00BD7AA6" w:rsidP="00297F18">
      <w:pPr>
        <w:spacing w:after="0" w:line="240" w:lineRule="auto"/>
        <w:jc w:val="both"/>
        <w:rPr>
          <w:rFonts w:ascii="Verdana" w:hAnsi="Verdana"/>
          <w:color w:val="000000" w:themeColor="text1"/>
          <w:sz w:val="20"/>
          <w:szCs w:val="20"/>
          <w:lang w:val="es-ES_tradnl"/>
        </w:rPr>
      </w:pPr>
    </w:p>
    <w:p w14:paraId="65F24CCB" w14:textId="1B790541" w:rsidR="00BD7AA6" w:rsidRDefault="00BD7AA6" w:rsidP="00297F18">
      <w:pPr>
        <w:spacing w:after="0" w:line="240" w:lineRule="auto"/>
        <w:jc w:val="both"/>
        <w:rPr>
          <w:rFonts w:ascii="Verdana" w:hAnsi="Verdana"/>
          <w:color w:val="000000" w:themeColor="text1"/>
          <w:sz w:val="20"/>
          <w:szCs w:val="20"/>
          <w:lang w:val="es-ES_tradnl"/>
        </w:rPr>
      </w:pPr>
    </w:p>
    <w:p w14:paraId="0CCB4B9C" w14:textId="6E204D9A" w:rsidR="00BD7AA6" w:rsidRDefault="00BD7AA6" w:rsidP="00297F18">
      <w:pPr>
        <w:spacing w:after="0" w:line="240" w:lineRule="auto"/>
        <w:jc w:val="both"/>
        <w:rPr>
          <w:rFonts w:ascii="Verdana" w:hAnsi="Verdana"/>
          <w:color w:val="000000" w:themeColor="text1"/>
          <w:sz w:val="20"/>
          <w:szCs w:val="20"/>
          <w:lang w:val="es-ES_tradnl"/>
        </w:rPr>
      </w:pPr>
    </w:p>
    <w:p w14:paraId="684DF40B" w14:textId="119847CE" w:rsidR="00BD7AA6" w:rsidRDefault="00BD7AA6" w:rsidP="00297F18">
      <w:pPr>
        <w:spacing w:after="0" w:line="240" w:lineRule="auto"/>
        <w:jc w:val="both"/>
        <w:rPr>
          <w:rFonts w:ascii="Verdana" w:hAnsi="Verdana"/>
          <w:color w:val="000000" w:themeColor="text1"/>
          <w:sz w:val="20"/>
          <w:szCs w:val="20"/>
          <w:lang w:val="es-ES_tradnl"/>
        </w:rPr>
      </w:pPr>
    </w:p>
    <w:p w14:paraId="1A075C57" w14:textId="276E396B" w:rsidR="00BD7AA6" w:rsidRDefault="00BD7AA6" w:rsidP="00297F18">
      <w:pPr>
        <w:spacing w:after="0" w:line="240" w:lineRule="auto"/>
        <w:jc w:val="both"/>
        <w:rPr>
          <w:rFonts w:ascii="Verdana" w:hAnsi="Verdana"/>
          <w:color w:val="000000" w:themeColor="text1"/>
          <w:sz w:val="20"/>
          <w:szCs w:val="20"/>
          <w:lang w:val="es-ES_tradnl"/>
        </w:rPr>
      </w:pPr>
    </w:p>
    <w:p w14:paraId="4A9D801B" w14:textId="17487B88" w:rsidR="00BD7AA6" w:rsidRDefault="00BD7AA6" w:rsidP="00297F18">
      <w:pPr>
        <w:spacing w:after="0" w:line="240" w:lineRule="auto"/>
        <w:jc w:val="both"/>
        <w:rPr>
          <w:rFonts w:ascii="Verdana" w:hAnsi="Verdana"/>
          <w:color w:val="000000" w:themeColor="text1"/>
          <w:sz w:val="20"/>
          <w:szCs w:val="20"/>
          <w:lang w:val="es-ES_tradnl"/>
        </w:rPr>
      </w:pPr>
    </w:p>
    <w:p w14:paraId="52B7BD36" w14:textId="6DE2B248" w:rsidR="00BD7AA6" w:rsidRDefault="00BD7AA6" w:rsidP="00297F18">
      <w:pPr>
        <w:spacing w:after="0" w:line="240" w:lineRule="auto"/>
        <w:jc w:val="both"/>
        <w:rPr>
          <w:rFonts w:ascii="Verdana" w:hAnsi="Verdana"/>
          <w:color w:val="000000" w:themeColor="text1"/>
          <w:sz w:val="20"/>
          <w:szCs w:val="20"/>
          <w:lang w:val="es-ES_tradnl"/>
        </w:rPr>
      </w:pPr>
    </w:p>
    <w:p w14:paraId="2CDE630D" w14:textId="6A8ABCF7" w:rsidR="00BD7AA6" w:rsidRDefault="00BD7AA6" w:rsidP="00297F18">
      <w:pPr>
        <w:spacing w:after="0" w:line="240" w:lineRule="auto"/>
        <w:jc w:val="both"/>
        <w:rPr>
          <w:rFonts w:ascii="Verdana" w:hAnsi="Verdana"/>
          <w:color w:val="000000" w:themeColor="text1"/>
          <w:sz w:val="20"/>
          <w:szCs w:val="20"/>
          <w:lang w:val="es-ES_tradnl"/>
        </w:rPr>
      </w:pPr>
    </w:p>
    <w:p w14:paraId="6780485D" w14:textId="3F65028F" w:rsidR="00BD7AA6" w:rsidRDefault="00BD7AA6" w:rsidP="00297F18">
      <w:pPr>
        <w:spacing w:after="0" w:line="240" w:lineRule="auto"/>
        <w:jc w:val="both"/>
        <w:rPr>
          <w:rFonts w:ascii="Verdana" w:hAnsi="Verdana"/>
          <w:color w:val="000000" w:themeColor="text1"/>
          <w:sz w:val="20"/>
          <w:szCs w:val="20"/>
          <w:lang w:val="es-ES_tradnl"/>
        </w:rPr>
      </w:pPr>
    </w:p>
    <w:p w14:paraId="211FFB92" w14:textId="6302DEC9" w:rsidR="00BD7AA6" w:rsidRDefault="00BD7AA6" w:rsidP="00297F18">
      <w:pPr>
        <w:spacing w:after="0" w:line="240" w:lineRule="auto"/>
        <w:jc w:val="both"/>
        <w:rPr>
          <w:rFonts w:ascii="Verdana" w:hAnsi="Verdana"/>
          <w:color w:val="000000" w:themeColor="text1"/>
          <w:sz w:val="20"/>
          <w:szCs w:val="20"/>
          <w:lang w:val="es-ES_tradnl"/>
        </w:rPr>
      </w:pPr>
    </w:p>
    <w:p w14:paraId="0029C18E" w14:textId="5CF313B7" w:rsidR="00BD7AA6" w:rsidRDefault="00BD7AA6" w:rsidP="00297F18">
      <w:pPr>
        <w:spacing w:after="0" w:line="240" w:lineRule="auto"/>
        <w:jc w:val="both"/>
        <w:rPr>
          <w:rFonts w:ascii="Verdana" w:hAnsi="Verdana"/>
          <w:color w:val="000000" w:themeColor="text1"/>
          <w:sz w:val="20"/>
          <w:szCs w:val="20"/>
          <w:lang w:val="es-ES_tradnl"/>
        </w:rPr>
      </w:pPr>
    </w:p>
    <w:p w14:paraId="744836FC" w14:textId="1172522B" w:rsidR="00BD7AA6" w:rsidRDefault="00BD7AA6" w:rsidP="00297F18">
      <w:pPr>
        <w:spacing w:after="0" w:line="240" w:lineRule="auto"/>
        <w:jc w:val="both"/>
        <w:rPr>
          <w:rFonts w:ascii="Verdana" w:hAnsi="Verdana"/>
          <w:color w:val="000000" w:themeColor="text1"/>
          <w:sz w:val="20"/>
          <w:szCs w:val="20"/>
          <w:lang w:val="es-ES_tradnl"/>
        </w:rPr>
      </w:pPr>
    </w:p>
    <w:p w14:paraId="69C6EF65" w14:textId="0FDAE33D" w:rsidR="00BD7AA6" w:rsidRDefault="00BD7AA6" w:rsidP="00297F18">
      <w:pPr>
        <w:spacing w:after="0" w:line="240" w:lineRule="auto"/>
        <w:jc w:val="both"/>
        <w:rPr>
          <w:rFonts w:ascii="Verdana" w:hAnsi="Verdana"/>
          <w:color w:val="000000" w:themeColor="text1"/>
          <w:sz w:val="20"/>
          <w:szCs w:val="20"/>
          <w:lang w:val="es-ES_tradnl"/>
        </w:rPr>
      </w:pPr>
    </w:p>
    <w:p w14:paraId="5B4C6410" w14:textId="1CA7AFE7" w:rsidR="00BD7AA6" w:rsidRDefault="00BD7AA6" w:rsidP="00297F18">
      <w:pPr>
        <w:spacing w:after="0" w:line="240" w:lineRule="auto"/>
        <w:jc w:val="both"/>
        <w:rPr>
          <w:rFonts w:ascii="Verdana" w:hAnsi="Verdana"/>
          <w:color w:val="000000" w:themeColor="text1"/>
          <w:sz w:val="20"/>
          <w:szCs w:val="20"/>
          <w:lang w:val="es-ES_tradnl"/>
        </w:rPr>
      </w:pPr>
    </w:p>
    <w:p w14:paraId="6813EE95" w14:textId="5FB4B6C6" w:rsidR="00BD7AA6" w:rsidRDefault="00BD7AA6" w:rsidP="00297F18">
      <w:pPr>
        <w:spacing w:after="0" w:line="240" w:lineRule="auto"/>
        <w:jc w:val="both"/>
        <w:rPr>
          <w:rFonts w:ascii="Verdana" w:hAnsi="Verdana"/>
          <w:color w:val="000000" w:themeColor="text1"/>
          <w:sz w:val="20"/>
          <w:szCs w:val="20"/>
          <w:lang w:val="es-ES_tradnl"/>
        </w:rPr>
      </w:pPr>
    </w:p>
    <w:p w14:paraId="32D4B24E" w14:textId="24C93527" w:rsidR="00BD7AA6" w:rsidRDefault="00BD7AA6" w:rsidP="00297F18">
      <w:pPr>
        <w:spacing w:after="0" w:line="240" w:lineRule="auto"/>
        <w:jc w:val="both"/>
        <w:rPr>
          <w:rFonts w:ascii="Verdana" w:hAnsi="Verdana"/>
          <w:color w:val="000000" w:themeColor="text1"/>
          <w:sz w:val="20"/>
          <w:szCs w:val="20"/>
          <w:lang w:val="es-ES_tradnl"/>
        </w:rPr>
      </w:pPr>
    </w:p>
    <w:p w14:paraId="5608D256" w14:textId="2B7A1DC9" w:rsidR="00BD7AA6" w:rsidRDefault="00BD7AA6" w:rsidP="00297F18">
      <w:pPr>
        <w:spacing w:after="0" w:line="240" w:lineRule="auto"/>
        <w:jc w:val="both"/>
        <w:rPr>
          <w:rFonts w:ascii="Verdana" w:hAnsi="Verdana"/>
          <w:color w:val="000000" w:themeColor="text1"/>
          <w:sz w:val="20"/>
          <w:szCs w:val="20"/>
          <w:lang w:val="es-ES_tradnl"/>
        </w:rPr>
      </w:pPr>
    </w:p>
    <w:p w14:paraId="06D57B1E" w14:textId="46E0F23C" w:rsidR="00BD7AA6" w:rsidRDefault="00BD7AA6" w:rsidP="00297F18">
      <w:pPr>
        <w:spacing w:after="0" w:line="240" w:lineRule="auto"/>
        <w:jc w:val="both"/>
        <w:rPr>
          <w:rFonts w:ascii="Verdana" w:hAnsi="Verdana"/>
          <w:color w:val="000000" w:themeColor="text1"/>
          <w:sz w:val="20"/>
          <w:szCs w:val="20"/>
          <w:lang w:val="es-ES_tradnl"/>
        </w:rPr>
      </w:pPr>
    </w:p>
    <w:p w14:paraId="3EB9B473" w14:textId="754C72A5" w:rsidR="00BD7AA6" w:rsidRDefault="00BD7AA6" w:rsidP="00297F18">
      <w:pPr>
        <w:spacing w:after="0" w:line="240" w:lineRule="auto"/>
        <w:jc w:val="both"/>
        <w:rPr>
          <w:rFonts w:ascii="Verdana" w:hAnsi="Verdana"/>
          <w:color w:val="000000" w:themeColor="text1"/>
          <w:sz w:val="20"/>
          <w:szCs w:val="20"/>
          <w:lang w:val="es-ES_tradnl"/>
        </w:rPr>
      </w:pPr>
    </w:p>
    <w:p w14:paraId="10D7201A" w14:textId="27F7382C" w:rsidR="00BD7AA6" w:rsidRDefault="00BD7AA6" w:rsidP="00297F18">
      <w:pPr>
        <w:spacing w:after="0" w:line="240" w:lineRule="auto"/>
        <w:jc w:val="both"/>
        <w:rPr>
          <w:rFonts w:ascii="Verdana" w:hAnsi="Verdana"/>
          <w:color w:val="000000" w:themeColor="text1"/>
          <w:sz w:val="20"/>
          <w:szCs w:val="20"/>
          <w:lang w:val="es-ES_tradnl"/>
        </w:rPr>
      </w:pPr>
    </w:p>
    <w:p w14:paraId="5232C8B3" w14:textId="014A5745" w:rsidR="00BD7AA6" w:rsidRDefault="00BD7AA6" w:rsidP="00297F18">
      <w:pPr>
        <w:spacing w:after="0" w:line="240" w:lineRule="auto"/>
        <w:jc w:val="both"/>
        <w:rPr>
          <w:rFonts w:ascii="Verdana" w:hAnsi="Verdana"/>
          <w:color w:val="000000" w:themeColor="text1"/>
          <w:sz w:val="20"/>
          <w:szCs w:val="20"/>
          <w:lang w:val="es-ES_tradnl"/>
        </w:rPr>
      </w:pPr>
    </w:p>
    <w:p w14:paraId="1C02962F" w14:textId="2A4851AF" w:rsidR="00BD7AA6" w:rsidRDefault="00BD7AA6" w:rsidP="00297F18">
      <w:pPr>
        <w:spacing w:after="0" w:line="240" w:lineRule="auto"/>
        <w:jc w:val="both"/>
        <w:rPr>
          <w:rFonts w:ascii="Verdana" w:hAnsi="Verdana"/>
          <w:color w:val="000000" w:themeColor="text1"/>
          <w:sz w:val="20"/>
          <w:szCs w:val="20"/>
          <w:lang w:val="es-ES_tradnl"/>
        </w:rPr>
      </w:pPr>
    </w:p>
    <w:p w14:paraId="337265ED" w14:textId="46BD11E5" w:rsidR="00BD7AA6" w:rsidRDefault="00BD7AA6" w:rsidP="00297F18">
      <w:pPr>
        <w:spacing w:after="0" w:line="240" w:lineRule="auto"/>
        <w:jc w:val="both"/>
        <w:rPr>
          <w:rFonts w:ascii="Verdana" w:hAnsi="Verdana"/>
          <w:color w:val="000000" w:themeColor="text1"/>
          <w:sz w:val="20"/>
          <w:szCs w:val="20"/>
          <w:lang w:val="es-ES_tradnl"/>
        </w:rPr>
      </w:pPr>
    </w:p>
    <w:p w14:paraId="5E6469C0" w14:textId="4D39CDF4" w:rsidR="00BD7AA6" w:rsidRDefault="00BD7AA6" w:rsidP="00297F18">
      <w:pPr>
        <w:spacing w:after="0" w:line="240" w:lineRule="auto"/>
        <w:jc w:val="both"/>
        <w:rPr>
          <w:rFonts w:ascii="Verdana" w:hAnsi="Verdana"/>
          <w:color w:val="000000" w:themeColor="text1"/>
          <w:sz w:val="20"/>
          <w:szCs w:val="20"/>
          <w:lang w:val="es-ES_tradnl"/>
        </w:rPr>
      </w:pPr>
    </w:p>
    <w:p w14:paraId="3D9EF65D" w14:textId="165E16C5" w:rsidR="00BD7AA6" w:rsidRDefault="00BD7AA6" w:rsidP="00297F18">
      <w:pPr>
        <w:spacing w:after="0" w:line="240" w:lineRule="auto"/>
        <w:jc w:val="both"/>
        <w:rPr>
          <w:rFonts w:ascii="Verdana" w:hAnsi="Verdana"/>
          <w:color w:val="000000" w:themeColor="text1"/>
          <w:sz w:val="20"/>
          <w:szCs w:val="20"/>
          <w:lang w:val="es-ES_tradnl"/>
        </w:rPr>
      </w:pPr>
    </w:p>
    <w:p w14:paraId="329C33E5" w14:textId="2D7FB81A" w:rsidR="00BD7AA6" w:rsidRDefault="00BD7AA6" w:rsidP="00297F18">
      <w:pPr>
        <w:spacing w:after="0" w:line="240" w:lineRule="auto"/>
        <w:jc w:val="both"/>
        <w:rPr>
          <w:rFonts w:ascii="Verdana" w:hAnsi="Verdana"/>
          <w:color w:val="000000" w:themeColor="text1"/>
          <w:sz w:val="20"/>
          <w:szCs w:val="20"/>
          <w:lang w:val="es-ES_tradnl"/>
        </w:rPr>
      </w:pPr>
    </w:p>
    <w:p w14:paraId="17C6841B" w14:textId="35C6BE4D" w:rsidR="00BD7AA6" w:rsidRDefault="00BD7AA6" w:rsidP="00297F18">
      <w:pPr>
        <w:spacing w:after="0" w:line="240" w:lineRule="auto"/>
        <w:jc w:val="both"/>
        <w:rPr>
          <w:rFonts w:ascii="Verdana" w:hAnsi="Verdana"/>
          <w:color w:val="000000" w:themeColor="text1"/>
          <w:sz w:val="20"/>
          <w:szCs w:val="20"/>
          <w:lang w:val="es-ES_tradnl"/>
        </w:rPr>
      </w:pPr>
    </w:p>
    <w:p w14:paraId="247F562F" w14:textId="441A041E" w:rsidR="00BD7AA6" w:rsidRDefault="00BD7AA6" w:rsidP="00297F18">
      <w:pPr>
        <w:spacing w:after="0" w:line="240" w:lineRule="auto"/>
        <w:jc w:val="both"/>
        <w:rPr>
          <w:rFonts w:ascii="Verdana" w:hAnsi="Verdana"/>
          <w:color w:val="000000" w:themeColor="text1"/>
          <w:sz w:val="20"/>
          <w:szCs w:val="20"/>
          <w:lang w:val="es-ES_tradnl"/>
        </w:rPr>
      </w:pPr>
    </w:p>
    <w:p w14:paraId="351CD1D5" w14:textId="2DAAB78A" w:rsidR="00BD7AA6" w:rsidRDefault="00BD7AA6" w:rsidP="00297F18">
      <w:pPr>
        <w:spacing w:after="0" w:line="240" w:lineRule="auto"/>
        <w:jc w:val="both"/>
        <w:rPr>
          <w:rFonts w:ascii="Verdana" w:hAnsi="Verdana"/>
          <w:color w:val="000000" w:themeColor="text1"/>
          <w:sz w:val="20"/>
          <w:szCs w:val="20"/>
          <w:lang w:val="es-ES_tradnl"/>
        </w:rPr>
      </w:pPr>
    </w:p>
    <w:p w14:paraId="094FF6D6" w14:textId="5BBD3114" w:rsidR="00BD7AA6" w:rsidRDefault="00BD7AA6" w:rsidP="00297F18">
      <w:pPr>
        <w:spacing w:after="0" w:line="240" w:lineRule="auto"/>
        <w:jc w:val="both"/>
        <w:rPr>
          <w:rFonts w:ascii="Verdana" w:hAnsi="Verdana"/>
          <w:color w:val="000000" w:themeColor="text1"/>
          <w:sz w:val="20"/>
          <w:szCs w:val="20"/>
          <w:lang w:val="es-ES_tradnl"/>
        </w:rPr>
      </w:pPr>
    </w:p>
    <w:p w14:paraId="0410B518" w14:textId="1000119E" w:rsidR="00BD7AA6" w:rsidRDefault="00BD7AA6" w:rsidP="00297F18">
      <w:pPr>
        <w:spacing w:after="0" w:line="240" w:lineRule="auto"/>
        <w:jc w:val="both"/>
        <w:rPr>
          <w:rFonts w:ascii="Verdana" w:hAnsi="Verdana"/>
          <w:color w:val="000000" w:themeColor="text1"/>
          <w:sz w:val="20"/>
          <w:szCs w:val="20"/>
          <w:lang w:val="es-ES_tradnl"/>
        </w:rPr>
      </w:pPr>
    </w:p>
    <w:p w14:paraId="6DB0A134" w14:textId="2C253AAF" w:rsidR="00BD7AA6" w:rsidRDefault="00BD7AA6" w:rsidP="00297F18">
      <w:pPr>
        <w:spacing w:after="0" w:line="240" w:lineRule="auto"/>
        <w:jc w:val="both"/>
        <w:rPr>
          <w:rFonts w:ascii="Verdana" w:hAnsi="Verdana"/>
          <w:color w:val="000000" w:themeColor="text1"/>
          <w:sz w:val="20"/>
          <w:szCs w:val="20"/>
          <w:lang w:val="es-ES_tradnl"/>
        </w:rPr>
      </w:pPr>
    </w:p>
    <w:p w14:paraId="2B49098B" w14:textId="2BFFD54A" w:rsidR="00BD7AA6" w:rsidRDefault="00BD7AA6" w:rsidP="00297F18">
      <w:pPr>
        <w:spacing w:after="0" w:line="240" w:lineRule="auto"/>
        <w:jc w:val="both"/>
        <w:rPr>
          <w:rFonts w:ascii="Verdana" w:hAnsi="Verdana"/>
          <w:color w:val="000000" w:themeColor="text1"/>
          <w:sz w:val="20"/>
          <w:szCs w:val="20"/>
          <w:lang w:val="es-ES_tradnl"/>
        </w:rPr>
      </w:pPr>
    </w:p>
    <w:p w14:paraId="10A64FC7" w14:textId="574F3B3E" w:rsidR="00BD7AA6" w:rsidRDefault="00BD7AA6" w:rsidP="00297F18">
      <w:pPr>
        <w:spacing w:after="0" w:line="240" w:lineRule="auto"/>
        <w:jc w:val="both"/>
        <w:rPr>
          <w:rFonts w:ascii="Verdana" w:hAnsi="Verdana"/>
          <w:color w:val="000000" w:themeColor="text1"/>
          <w:sz w:val="20"/>
          <w:szCs w:val="20"/>
          <w:lang w:val="es-ES_tradnl"/>
        </w:rPr>
      </w:pPr>
    </w:p>
    <w:p w14:paraId="15A08AF9" w14:textId="4B0036F1" w:rsidR="00BD7AA6" w:rsidRDefault="00BD7AA6" w:rsidP="00297F18">
      <w:pPr>
        <w:spacing w:after="0" w:line="240" w:lineRule="auto"/>
        <w:jc w:val="both"/>
        <w:rPr>
          <w:rFonts w:ascii="Verdana" w:hAnsi="Verdana"/>
          <w:color w:val="000000" w:themeColor="text1"/>
          <w:sz w:val="20"/>
          <w:szCs w:val="20"/>
          <w:lang w:val="es-ES_tradnl"/>
        </w:rPr>
      </w:pPr>
    </w:p>
    <w:p w14:paraId="62489623" w14:textId="15B4ADB6" w:rsidR="00BD7AA6" w:rsidRDefault="00BD7AA6" w:rsidP="00297F18">
      <w:pPr>
        <w:spacing w:after="0" w:line="240" w:lineRule="auto"/>
        <w:jc w:val="both"/>
        <w:rPr>
          <w:rFonts w:ascii="Verdana" w:hAnsi="Verdana"/>
          <w:color w:val="000000" w:themeColor="text1"/>
          <w:sz w:val="20"/>
          <w:szCs w:val="20"/>
          <w:lang w:val="es-ES_tradnl"/>
        </w:rPr>
      </w:pPr>
    </w:p>
    <w:p w14:paraId="4F78CF4C" w14:textId="68B56894" w:rsidR="00BD7AA6" w:rsidRDefault="00BD7AA6" w:rsidP="00297F18">
      <w:pPr>
        <w:spacing w:after="0" w:line="240" w:lineRule="auto"/>
        <w:jc w:val="both"/>
        <w:rPr>
          <w:rFonts w:ascii="Verdana" w:hAnsi="Verdana"/>
          <w:color w:val="000000" w:themeColor="text1"/>
          <w:sz w:val="20"/>
          <w:szCs w:val="20"/>
          <w:lang w:val="es-ES_tradnl"/>
        </w:rPr>
      </w:pPr>
    </w:p>
    <w:p w14:paraId="1279EB08" w14:textId="6A3A4FA5" w:rsidR="00BD7AA6" w:rsidRDefault="00BD7AA6" w:rsidP="00297F18">
      <w:pPr>
        <w:spacing w:after="0" w:line="240" w:lineRule="auto"/>
        <w:jc w:val="both"/>
        <w:rPr>
          <w:rFonts w:ascii="Verdana" w:hAnsi="Verdana"/>
          <w:color w:val="000000" w:themeColor="text1"/>
          <w:sz w:val="20"/>
          <w:szCs w:val="20"/>
          <w:lang w:val="es-ES_tradnl"/>
        </w:rPr>
      </w:pPr>
    </w:p>
    <w:p w14:paraId="5A0E608E" w14:textId="749B0BD6" w:rsidR="00BD7AA6" w:rsidRDefault="00BD7AA6" w:rsidP="00297F18">
      <w:pPr>
        <w:spacing w:after="0" w:line="240" w:lineRule="auto"/>
        <w:jc w:val="both"/>
        <w:rPr>
          <w:rFonts w:ascii="Verdana" w:hAnsi="Verdana"/>
          <w:color w:val="000000" w:themeColor="text1"/>
          <w:sz w:val="20"/>
          <w:szCs w:val="20"/>
          <w:lang w:val="es-ES_tradnl"/>
        </w:rPr>
      </w:pPr>
    </w:p>
    <w:p w14:paraId="7B22124A" w14:textId="6524A355" w:rsidR="00BD7AA6" w:rsidRDefault="00BD7AA6" w:rsidP="00297F18">
      <w:pPr>
        <w:spacing w:after="0" w:line="240" w:lineRule="auto"/>
        <w:jc w:val="both"/>
        <w:rPr>
          <w:rFonts w:ascii="Verdana" w:hAnsi="Verdana"/>
          <w:color w:val="000000" w:themeColor="text1"/>
          <w:sz w:val="20"/>
          <w:szCs w:val="20"/>
          <w:lang w:val="es-ES_tradnl"/>
        </w:rPr>
      </w:pPr>
    </w:p>
    <w:p w14:paraId="499AD6DC" w14:textId="54318DBD" w:rsidR="00BD7AA6" w:rsidRDefault="00BD7AA6" w:rsidP="00297F18">
      <w:pPr>
        <w:spacing w:after="0" w:line="240" w:lineRule="auto"/>
        <w:jc w:val="both"/>
        <w:rPr>
          <w:rFonts w:ascii="Verdana" w:hAnsi="Verdana"/>
          <w:color w:val="000000" w:themeColor="text1"/>
          <w:sz w:val="20"/>
          <w:szCs w:val="20"/>
          <w:lang w:val="es-ES_tradnl"/>
        </w:rPr>
      </w:pPr>
    </w:p>
    <w:p w14:paraId="0C176102" w14:textId="77F138EE" w:rsidR="00BD7AA6" w:rsidRDefault="00BD7AA6" w:rsidP="00297F18">
      <w:pPr>
        <w:spacing w:after="0" w:line="240" w:lineRule="auto"/>
        <w:jc w:val="both"/>
        <w:rPr>
          <w:rFonts w:ascii="Verdana" w:hAnsi="Verdana"/>
          <w:color w:val="000000" w:themeColor="text1"/>
          <w:sz w:val="20"/>
          <w:szCs w:val="20"/>
          <w:lang w:val="es-ES_tradnl"/>
        </w:rPr>
      </w:pPr>
    </w:p>
    <w:p w14:paraId="7C21ECEE" w14:textId="3C8B6B02" w:rsidR="00BD7AA6" w:rsidRDefault="00BD7AA6" w:rsidP="00297F18">
      <w:pPr>
        <w:spacing w:after="0" w:line="240" w:lineRule="auto"/>
        <w:jc w:val="both"/>
        <w:rPr>
          <w:rFonts w:ascii="Verdana" w:hAnsi="Verdana"/>
          <w:color w:val="000000" w:themeColor="text1"/>
          <w:sz w:val="20"/>
          <w:szCs w:val="20"/>
          <w:lang w:val="es-ES_tradnl"/>
        </w:rPr>
      </w:pPr>
    </w:p>
    <w:p w14:paraId="4B951201" w14:textId="30E087E1" w:rsidR="00BD7AA6" w:rsidRDefault="00BD7AA6" w:rsidP="00297F18">
      <w:pPr>
        <w:spacing w:after="0" w:line="240" w:lineRule="auto"/>
        <w:jc w:val="both"/>
        <w:rPr>
          <w:rFonts w:ascii="Verdana" w:hAnsi="Verdana"/>
          <w:color w:val="000000" w:themeColor="text1"/>
          <w:sz w:val="20"/>
          <w:szCs w:val="20"/>
          <w:lang w:val="es-ES_tradnl"/>
        </w:rPr>
      </w:pPr>
    </w:p>
    <w:p w14:paraId="30C9A293" w14:textId="426EA117" w:rsidR="00BD7AA6" w:rsidRDefault="00BD7AA6" w:rsidP="00297F18">
      <w:pPr>
        <w:spacing w:after="0" w:line="240" w:lineRule="auto"/>
        <w:jc w:val="both"/>
        <w:rPr>
          <w:rFonts w:ascii="Verdana" w:hAnsi="Verdana"/>
          <w:color w:val="000000" w:themeColor="text1"/>
          <w:sz w:val="20"/>
          <w:szCs w:val="20"/>
          <w:lang w:val="es-ES_tradnl"/>
        </w:rPr>
      </w:pPr>
    </w:p>
    <w:p w14:paraId="2926D855" w14:textId="5245FAB6" w:rsidR="00BD7AA6" w:rsidRDefault="00BD7AA6" w:rsidP="00297F18">
      <w:pPr>
        <w:spacing w:after="0" w:line="240" w:lineRule="auto"/>
        <w:jc w:val="both"/>
        <w:rPr>
          <w:rFonts w:ascii="Verdana" w:hAnsi="Verdana"/>
          <w:color w:val="000000" w:themeColor="text1"/>
          <w:sz w:val="20"/>
          <w:szCs w:val="20"/>
          <w:lang w:val="es-ES_tradnl"/>
        </w:rPr>
      </w:pPr>
    </w:p>
    <w:p w14:paraId="61AFFD0B" w14:textId="378B8289" w:rsidR="00BD7AA6" w:rsidRDefault="00BD7AA6" w:rsidP="00297F18">
      <w:pPr>
        <w:spacing w:after="0" w:line="240" w:lineRule="auto"/>
        <w:jc w:val="both"/>
        <w:rPr>
          <w:rFonts w:ascii="Verdana" w:hAnsi="Verdana"/>
          <w:color w:val="000000" w:themeColor="text1"/>
          <w:sz w:val="20"/>
          <w:szCs w:val="20"/>
          <w:lang w:val="es-ES_tradnl"/>
        </w:rPr>
      </w:pPr>
    </w:p>
    <w:p w14:paraId="7E1B9F0D" w14:textId="04B1BB66" w:rsidR="00BD7AA6" w:rsidRDefault="00BD7AA6" w:rsidP="00297F18">
      <w:pPr>
        <w:spacing w:after="0" w:line="240" w:lineRule="auto"/>
        <w:jc w:val="both"/>
        <w:rPr>
          <w:rFonts w:ascii="Verdana" w:hAnsi="Verdana"/>
          <w:color w:val="000000" w:themeColor="text1"/>
          <w:sz w:val="20"/>
          <w:szCs w:val="20"/>
          <w:lang w:val="es-ES_tradnl"/>
        </w:rPr>
      </w:pPr>
    </w:p>
    <w:p w14:paraId="316EED54" w14:textId="07938EFA" w:rsidR="00BD7AA6" w:rsidRDefault="00BD7AA6" w:rsidP="00297F18">
      <w:pPr>
        <w:spacing w:after="0" w:line="240" w:lineRule="auto"/>
        <w:jc w:val="both"/>
        <w:rPr>
          <w:rFonts w:ascii="Verdana" w:hAnsi="Verdana"/>
          <w:color w:val="000000" w:themeColor="text1"/>
          <w:sz w:val="20"/>
          <w:szCs w:val="20"/>
          <w:lang w:val="es-ES_tradnl"/>
        </w:rPr>
      </w:pPr>
    </w:p>
    <w:p w14:paraId="42E0D008" w14:textId="45999A1F" w:rsidR="00BD7AA6" w:rsidRDefault="00BD7AA6" w:rsidP="00297F18">
      <w:pPr>
        <w:spacing w:after="0" w:line="240" w:lineRule="auto"/>
        <w:jc w:val="both"/>
        <w:rPr>
          <w:rFonts w:ascii="Verdana" w:hAnsi="Verdana"/>
          <w:color w:val="000000" w:themeColor="text1"/>
          <w:sz w:val="20"/>
          <w:szCs w:val="20"/>
          <w:lang w:val="es-ES_tradnl"/>
        </w:rPr>
      </w:pPr>
    </w:p>
    <w:p w14:paraId="30BA8196" w14:textId="7E0A27A9" w:rsidR="00BD7AA6" w:rsidRDefault="00BD7AA6" w:rsidP="00297F18">
      <w:pPr>
        <w:spacing w:after="0" w:line="240" w:lineRule="auto"/>
        <w:jc w:val="both"/>
        <w:rPr>
          <w:rFonts w:ascii="Verdana" w:hAnsi="Verdana"/>
          <w:color w:val="000000" w:themeColor="text1"/>
          <w:sz w:val="20"/>
          <w:szCs w:val="20"/>
          <w:lang w:val="es-ES_tradnl"/>
        </w:rPr>
      </w:pPr>
    </w:p>
    <w:p w14:paraId="66A08C3B" w14:textId="3830ADCB" w:rsidR="00BD7AA6" w:rsidRDefault="00BD7AA6" w:rsidP="00297F18">
      <w:pPr>
        <w:spacing w:after="0" w:line="240" w:lineRule="auto"/>
        <w:jc w:val="both"/>
        <w:rPr>
          <w:rFonts w:ascii="Verdana" w:hAnsi="Verdana"/>
          <w:color w:val="000000" w:themeColor="text1"/>
          <w:sz w:val="20"/>
          <w:szCs w:val="20"/>
          <w:lang w:val="es-ES_tradnl"/>
        </w:rPr>
      </w:pPr>
    </w:p>
    <w:p w14:paraId="3E880FF9" w14:textId="04D9AB63" w:rsidR="00BD7AA6" w:rsidRDefault="00BD7AA6" w:rsidP="00297F18">
      <w:pPr>
        <w:spacing w:after="0" w:line="240" w:lineRule="auto"/>
        <w:jc w:val="both"/>
        <w:rPr>
          <w:rFonts w:ascii="Verdana" w:hAnsi="Verdana"/>
          <w:color w:val="000000" w:themeColor="text1"/>
          <w:sz w:val="20"/>
          <w:szCs w:val="20"/>
          <w:lang w:val="es-ES_tradnl"/>
        </w:rPr>
      </w:pPr>
    </w:p>
    <w:p w14:paraId="2D90A5F8" w14:textId="213BECFE" w:rsidR="00BD7AA6" w:rsidRDefault="00BD7AA6" w:rsidP="00297F18">
      <w:pPr>
        <w:spacing w:after="0" w:line="240" w:lineRule="auto"/>
        <w:jc w:val="both"/>
        <w:rPr>
          <w:rFonts w:ascii="Verdana" w:hAnsi="Verdana"/>
          <w:color w:val="000000" w:themeColor="text1"/>
          <w:sz w:val="20"/>
          <w:szCs w:val="20"/>
          <w:lang w:val="es-ES_tradnl"/>
        </w:rPr>
      </w:pPr>
    </w:p>
    <w:p w14:paraId="12FF9435" w14:textId="71E5771D" w:rsidR="00BD7AA6" w:rsidRDefault="00BD7AA6" w:rsidP="00297F18">
      <w:pPr>
        <w:spacing w:after="0" w:line="240" w:lineRule="auto"/>
        <w:jc w:val="both"/>
        <w:rPr>
          <w:rFonts w:ascii="Verdana" w:hAnsi="Verdana"/>
          <w:color w:val="000000" w:themeColor="text1"/>
          <w:sz w:val="20"/>
          <w:szCs w:val="20"/>
          <w:lang w:val="es-ES_tradnl"/>
        </w:rPr>
      </w:pPr>
    </w:p>
    <w:p w14:paraId="0B1786C7" w14:textId="209A41DC" w:rsidR="00BD7AA6" w:rsidRDefault="00BD7AA6" w:rsidP="00297F18">
      <w:pPr>
        <w:spacing w:after="0" w:line="240" w:lineRule="auto"/>
        <w:jc w:val="both"/>
        <w:rPr>
          <w:rFonts w:ascii="Verdana" w:hAnsi="Verdana"/>
          <w:color w:val="000000" w:themeColor="text1"/>
          <w:sz w:val="20"/>
          <w:szCs w:val="20"/>
          <w:lang w:val="es-ES_tradnl"/>
        </w:rPr>
      </w:pPr>
    </w:p>
    <w:p w14:paraId="58DD45EC" w14:textId="3BD066FF" w:rsidR="00BD7AA6" w:rsidRDefault="00BD7AA6" w:rsidP="00297F18">
      <w:pPr>
        <w:spacing w:after="0" w:line="240" w:lineRule="auto"/>
        <w:jc w:val="both"/>
        <w:rPr>
          <w:rFonts w:ascii="Verdana" w:hAnsi="Verdana"/>
          <w:color w:val="000000" w:themeColor="text1"/>
          <w:sz w:val="20"/>
          <w:szCs w:val="20"/>
          <w:lang w:val="es-ES_tradnl"/>
        </w:rPr>
      </w:pPr>
    </w:p>
    <w:p w14:paraId="450C0C91" w14:textId="7A4AFEE6" w:rsidR="00BD7AA6" w:rsidRDefault="00BD7AA6" w:rsidP="00297F18">
      <w:pPr>
        <w:spacing w:after="0" w:line="240" w:lineRule="auto"/>
        <w:jc w:val="both"/>
        <w:rPr>
          <w:rFonts w:ascii="Verdana" w:hAnsi="Verdana"/>
          <w:color w:val="000000" w:themeColor="text1"/>
          <w:sz w:val="20"/>
          <w:szCs w:val="20"/>
          <w:lang w:val="es-ES_tradnl"/>
        </w:rPr>
      </w:pPr>
    </w:p>
    <w:p w14:paraId="2A21B0CC" w14:textId="698843AB" w:rsidR="00BD7AA6" w:rsidRDefault="00BD7AA6" w:rsidP="00297F18">
      <w:pPr>
        <w:spacing w:after="0" w:line="240" w:lineRule="auto"/>
        <w:jc w:val="both"/>
        <w:rPr>
          <w:rFonts w:ascii="Verdana" w:hAnsi="Verdana"/>
          <w:color w:val="000000" w:themeColor="text1"/>
          <w:sz w:val="20"/>
          <w:szCs w:val="20"/>
          <w:lang w:val="es-ES_tradnl"/>
        </w:rPr>
      </w:pPr>
    </w:p>
    <w:p w14:paraId="2B98F4DA" w14:textId="25F62118" w:rsidR="00BD7AA6" w:rsidRDefault="00BD7AA6" w:rsidP="00297F18">
      <w:pPr>
        <w:spacing w:after="0" w:line="240" w:lineRule="auto"/>
        <w:jc w:val="both"/>
        <w:rPr>
          <w:rFonts w:ascii="Verdana" w:hAnsi="Verdana"/>
          <w:color w:val="000000" w:themeColor="text1"/>
          <w:sz w:val="20"/>
          <w:szCs w:val="20"/>
          <w:lang w:val="es-ES_tradnl"/>
        </w:rPr>
      </w:pPr>
    </w:p>
    <w:p w14:paraId="6E605DA6" w14:textId="01F59189" w:rsidR="00BD7AA6" w:rsidRDefault="00BD7AA6" w:rsidP="00297F18">
      <w:pPr>
        <w:spacing w:after="0" w:line="240" w:lineRule="auto"/>
        <w:jc w:val="both"/>
        <w:rPr>
          <w:rFonts w:ascii="Verdana" w:hAnsi="Verdana"/>
          <w:color w:val="000000" w:themeColor="text1"/>
          <w:sz w:val="20"/>
          <w:szCs w:val="20"/>
          <w:lang w:val="es-ES_tradnl"/>
        </w:rPr>
      </w:pPr>
    </w:p>
    <w:p w14:paraId="44DCDB5C" w14:textId="67D820CE" w:rsidR="00BD7AA6" w:rsidRDefault="00BD7AA6" w:rsidP="00297F18">
      <w:pPr>
        <w:spacing w:after="0" w:line="240" w:lineRule="auto"/>
        <w:jc w:val="both"/>
        <w:rPr>
          <w:rFonts w:ascii="Verdana" w:hAnsi="Verdana"/>
          <w:color w:val="000000" w:themeColor="text1"/>
          <w:sz w:val="20"/>
          <w:szCs w:val="20"/>
          <w:lang w:val="es-ES_tradnl"/>
        </w:rPr>
      </w:pPr>
    </w:p>
    <w:p w14:paraId="696F5B25" w14:textId="70089240" w:rsidR="00BD7AA6" w:rsidRDefault="00BD7AA6" w:rsidP="00297F18">
      <w:pPr>
        <w:spacing w:after="0" w:line="240" w:lineRule="auto"/>
        <w:jc w:val="both"/>
        <w:rPr>
          <w:rFonts w:ascii="Verdana" w:hAnsi="Verdana"/>
          <w:color w:val="000000" w:themeColor="text1"/>
          <w:sz w:val="20"/>
          <w:szCs w:val="20"/>
          <w:lang w:val="es-ES_tradnl"/>
        </w:rPr>
      </w:pPr>
    </w:p>
    <w:p w14:paraId="13DF8C1A" w14:textId="020E75D3" w:rsidR="00BD7AA6" w:rsidRDefault="00BD7AA6" w:rsidP="00BD7AA6">
      <w:pPr>
        <w:spacing w:after="0" w:line="240" w:lineRule="auto"/>
        <w:jc w:val="right"/>
        <w:rPr>
          <w:rFonts w:ascii="Verdana" w:hAnsi="Verdana"/>
          <w:color w:val="000000" w:themeColor="text1"/>
          <w:sz w:val="20"/>
          <w:szCs w:val="20"/>
          <w:lang w:val="es-ES_tradnl"/>
        </w:rPr>
      </w:pPr>
    </w:p>
    <w:p w14:paraId="7FCAD1DA" w14:textId="22E18CDD" w:rsidR="00BD7AA6" w:rsidRDefault="00BD7AA6" w:rsidP="00297F18">
      <w:pPr>
        <w:spacing w:after="0" w:line="240" w:lineRule="auto"/>
        <w:jc w:val="both"/>
        <w:rPr>
          <w:rFonts w:ascii="Verdana" w:hAnsi="Verdana"/>
          <w:color w:val="000000" w:themeColor="text1"/>
          <w:sz w:val="20"/>
          <w:szCs w:val="20"/>
          <w:lang w:val="es-ES_tradnl"/>
        </w:rPr>
      </w:pPr>
    </w:p>
    <w:p w14:paraId="41E5BDA5" w14:textId="25A94819" w:rsidR="00BD7AA6" w:rsidRDefault="00BD7AA6" w:rsidP="00297F18">
      <w:pPr>
        <w:spacing w:after="0" w:line="240" w:lineRule="auto"/>
        <w:jc w:val="both"/>
        <w:rPr>
          <w:rFonts w:ascii="Verdana" w:hAnsi="Verdana"/>
          <w:color w:val="000000" w:themeColor="text1"/>
          <w:sz w:val="20"/>
          <w:szCs w:val="20"/>
          <w:lang w:val="es-ES_tradnl"/>
        </w:rPr>
      </w:pPr>
    </w:p>
    <w:p w14:paraId="6A3FA2CC" w14:textId="26556366" w:rsidR="00BD7AA6" w:rsidRDefault="00BD7AA6" w:rsidP="00297F18">
      <w:pPr>
        <w:spacing w:after="0" w:line="240" w:lineRule="auto"/>
        <w:jc w:val="both"/>
        <w:rPr>
          <w:rFonts w:ascii="Verdana" w:hAnsi="Verdana"/>
          <w:color w:val="000000" w:themeColor="text1"/>
          <w:sz w:val="20"/>
          <w:szCs w:val="20"/>
          <w:lang w:val="es-ES_tradnl"/>
        </w:rPr>
      </w:pPr>
    </w:p>
    <w:p w14:paraId="34D2FA20" w14:textId="1CD26EB3" w:rsidR="00BD7AA6" w:rsidRDefault="00BD7AA6" w:rsidP="00297F18">
      <w:pPr>
        <w:spacing w:after="0" w:line="240" w:lineRule="auto"/>
        <w:jc w:val="both"/>
        <w:rPr>
          <w:rFonts w:ascii="Verdana" w:hAnsi="Verdana"/>
          <w:color w:val="000000" w:themeColor="text1"/>
          <w:sz w:val="20"/>
          <w:szCs w:val="20"/>
          <w:lang w:val="es-ES_tradnl"/>
        </w:rPr>
      </w:pPr>
    </w:p>
    <w:p w14:paraId="4FED9108" w14:textId="67E1CF19" w:rsidR="00BD7AA6" w:rsidRDefault="00BD7AA6" w:rsidP="00297F18">
      <w:pPr>
        <w:spacing w:after="0" w:line="240" w:lineRule="auto"/>
        <w:jc w:val="both"/>
        <w:rPr>
          <w:rFonts w:ascii="Verdana" w:hAnsi="Verdana"/>
          <w:color w:val="000000" w:themeColor="text1"/>
          <w:sz w:val="20"/>
          <w:szCs w:val="20"/>
          <w:lang w:val="es-ES_tradnl"/>
        </w:rPr>
      </w:pPr>
    </w:p>
    <w:p w14:paraId="5CD2E133" w14:textId="211649AE" w:rsidR="00BD7AA6" w:rsidRDefault="00BD7AA6" w:rsidP="00297F18">
      <w:pPr>
        <w:spacing w:after="0" w:line="240" w:lineRule="auto"/>
        <w:jc w:val="both"/>
        <w:rPr>
          <w:rFonts w:ascii="Verdana" w:hAnsi="Verdana"/>
          <w:color w:val="000000" w:themeColor="text1"/>
          <w:sz w:val="20"/>
          <w:szCs w:val="20"/>
          <w:lang w:val="es-ES_tradnl"/>
        </w:rPr>
      </w:pPr>
    </w:p>
    <w:p w14:paraId="6F155E1E" w14:textId="21C890CC" w:rsidR="00BD7AA6" w:rsidRDefault="00BD7AA6" w:rsidP="00297F18">
      <w:pPr>
        <w:spacing w:after="0" w:line="240" w:lineRule="auto"/>
        <w:jc w:val="both"/>
        <w:rPr>
          <w:rFonts w:ascii="Verdana" w:hAnsi="Verdana"/>
          <w:color w:val="000000" w:themeColor="text1"/>
          <w:sz w:val="20"/>
          <w:szCs w:val="20"/>
          <w:lang w:val="es-ES_tradnl"/>
        </w:rPr>
      </w:pPr>
    </w:p>
    <w:p w14:paraId="2667AB2B" w14:textId="721E47EA" w:rsidR="00BD7AA6" w:rsidRDefault="00BD7AA6" w:rsidP="00297F18">
      <w:pPr>
        <w:spacing w:after="0" w:line="240" w:lineRule="auto"/>
        <w:jc w:val="both"/>
        <w:rPr>
          <w:rFonts w:ascii="Verdana" w:hAnsi="Verdana"/>
          <w:color w:val="000000" w:themeColor="text1"/>
          <w:sz w:val="20"/>
          <w:szCs w:val="20"/>
          <w:lang w:val="es-ES_tradnl"/>
        </w:rPr>
      </w:pPr>
    </w:p>
    <w:p w14:paraId="0EB9DE29" w14:textId="0B8C9201" w:rsidR="00BD7AA6" w:rsidRDefault="00BD7AA6" w:rsidP="00297F18">
      <w:pPr>
        <w:spacing w:after="0" w:line="240" w:lineRule="auto"/>
        <w:jc w:val="both"/>
        <w:rPr>
          <w:rFonts w:ascii="Verdana" w:hAnsi="Verdana"/>
          <w:color w:val="000000" w:themeColor="text1"/>
          <w:sz w:val="20"/>
          <w:szCs w:val="20"/>
          <w:lang w:val="es-ES_tradnl"/>
        </w:rPr>
      </w:pPr>
    </w:p>
    <w:p w14:paraId="2AC9F24D" w14:textId="206147D2" w:rsidR="00BD7AA6" w:rsidRDefault="00BD7AA6" w:rsidP="00297F18">
      <w:pPr>
        <w:spacing w:after="0" w:line="240" w:lineRule="auto"/>
        <w:jc w:val="both"/>
        <w:rPr>
          <w:rFonts w:ascii="Verdana" w:hAnsi="Verdana"/>
          <w:color w:val="000000" w:themeColor="text1"/>
          <w:sz w:val="20"/>
          <w:szCs w:val="20"/>
          <w:lang w:val="es-ES_tradnl"/>
        </w:rPr>
      </w:pPr>
    </w:p>
    <w:p w14:paraId="4F0D0094" w14:textId="40DC1DEF" w:rsidR="00BD7AA6" w:rsidRDefault="00BD7AA6" w:rsidP="00297F18">
      <w:pPr>
        <w:spacing w:after="0" w:line="240" w:lineRule="auto"/>
        <w:jc w:val="both"/>
        <w:rPr>
          <w:rFonts w:ascii="Verdana" w:hAnsi="Verdana"/>
          <w:color w:val="000000" w:themeColor="text1"/>
          <w:sz w:val="20"/>
          <w:szCs w:val="20"/>
          <w:lang w:val="es-ES_tradnl"/>
        </w:rPr>
      </w:pPr>
    </w:p>
    <w:p w14:paraId="57753071" w14:textId="45D037FE" w:rsidR="00BD7AA6" w:rsidRDefault="00BD7AA6" w:rsidP="00297F18">
      <w:pPr>
        <w:spacing w:after="0" w:line="240" w:lineRule="auto"/>
        <w:jc w:val="both"/>
        <w:rPr>
          <w:rFonts w:ascii="Verdana" w:hAnsi="Verdana"/>
          <w:color w:val="000000" w:themeColor="text1"/>
          <w:sz w:val="20"/>
          <w:szCs w:val="20"/>
          <w:lang w:val="es-ES_tradnl"/>
        </w:rPr>
      </w:pPr>
    </w:p>
    <w:p w14:paraId="6000D60D" w14:textId="1B209534" w:rsidR="00BD7AA6" w:rsidRDefault="00BD7AA6" w:rsidP="00297F18">
      <w:pPr>
        <w:spacing w:after="0" w:line="240" w:lineRule="auto"/>
        <w:jc w:val="both"/>
        <w:rPr>
          <w:rFonts w:ascii="Verdana" w:hAnsi="Verdana"/>
          <w:color w:val="000000" w:themeColor="text1"/>
          <w:sz w:val="20"/>
          <w:szCs w:val="20"/>
          <w:lang w:val="es-ES_tradnl"/>
        </w:rPr>
      </w:pPr>
    </w:p>
    <w:p w14:paraId="4C08B59F" w14:textId="77777777" w:rsidR="00BD7AA6" w:rsidRDefault="00BD7AA6" w:rsidP="00297F18">
      <w:pPr>
        <w:spacing w:after="0" w:line="240" w:lineRule="auto"/>
        <w:jc w:val="both"/>
        <w:rPr>
          <w:rFonts w:ascii="Verdana" w:hAnsi="Verdana"/>
          <w:color w:val="000000" w:themeColor="text1"/>
          <w:sz w:val="20"/>
          <w:szCs w:val="20"/>
          <w:lang w:val="es-ES_tradnl"/>
        </w:rPr>
      </w:pPr>
    </w:p>
    <w:sectPr w:rsidR="00BD7AA6" w:rsidSect="00BD7AA6">
      <w:headerReference w:type="even" r:id="rId8"/>
      <w:headerReference w:type="default" r:id="rId9"/>
      <w:footerReference w:type="default" r:id="rId10"/>
      <w:headerReference w:type="first" r:id="rId11"/>
      <w:footerReference w:type="first" r:id="rId12"/>
      <w:pgSz w:w="11906" w:h="16838"/>
      <w:pgMar w:top="1417" w:right="1701" w:bottom="1417" w:left="1701" w:header="709" w:footer="709" w:gutter="0"/>
      <w:pgNumType w:start="1"/>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4A5480" w14:textId="77777777" w:rsidR="002B1F9D" w:rsidRDefault="002B1F9D" w:rsidP="003D3437">
      <w:pPr>
        <w:spacing w:after="0" w:line="240" w:lineRule="auto"/>
      </w:pPr>
      <w:r>
        <w:separator/>
      </w:r>
    </w:p>
  </w:endnote>
  <w:endnote w:type="continuationSeparator" w:id="0">
    <w:p w14:paraId="39278478" w14:textId="77777777" w:rsidR="002B1F9D" w:rsidRDefault="002B1F9D" w:rsidP="003D3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panose1 w:val="02010600030101010101"/>
    <w:charset w:val="86"/>
    <w:family w:val="auto"/>
    <w:pitch w:val="variable"/>
    <w:sig w:usb0="00000003" w:usb1="288F0000" w:usb2="00000016" w:usb3="00000000" w:csb0="00040001" w:csb1="00000000"/>
  </w:font>
  <w:font w:name="Times">
    <w:panose1 w:val="02000500000000000000"/>
    <w:charset w:val="4D"/>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06A99" w14:textId="2AC9441D" w:rsidR="00F04D5E" w:rsidRDefault="00F04D5E">
    <w:pPr>
      <w:pStyle w:val="Rodap"/>
      <w:jc w:val="right"/>
    </w:pPr>
    <w:r>
      <w:fldChar w:fldCharType="begin"/>
    </w:r>
    <w:r>
      <w:instrText>PAGE   \* MERGEFORMAT</w:instrText>
    </w:r>
    <w:r>
      <w:fldChar w:fldCharType="separate"/>
    </w:r>
    <w:r w:rsidR="00A260CE">
      <w:rPr>
        <w:noProof/>
      </w:rPr>
      <w:t>3</w:t>
    </w:r>
    <w:r>
      <w:rPr>
        <w:noProof/>
      </w:rPr>
      <w:fldChar w:fldCharType="end"/>
    </w:r>
  </w:p>
  <w:p w14:paraId="6E4631F7" w14:textId="77777777" w:rsidR="00F04D5E" w:rsidRDefault="00F04D5E" w:rsidP="00FE346D">
    <w:pPr>
      <w:pStyle w:val="Rodap"/>
      <w:tabs>
        <w:tab w:val="left" w:pos="7710"/>
      </w:tabs>
    </w:pPr>
    <w:r>
      <w:tab/>
    </w:r>
    <w:r>
      <w:tab/>
    </w:r>
    <w:r>
      <w:tab/>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43C92" w14:textId="77777777" w:rsidR="00AF53E2" w:rsidRDefault="00AF53E2" w:rsidP="00761E3F">
    <w:pPr>
      <w:pStyle w:val="Rodap"/>
      <w:spacing w:after="0" w:line="240" w:lineRule="auto"/>
      <w:rPr>
        <w:rFonts w:ascii="Verdana" w:hAnsi="Verdana"/>
        <w:sz w:val="18"/>
        <w:szCs w:val="18"/>
        <w:lang w:val="es-ES_tradnl"/>
      </w:rPr>
    </w:pPr>
  </w:p>
  <w:p w14:paraId="575AD7C9" w14:textId="2982637D" w:rsidR="00761E3F" w:rsidRPr="003213E5" w:rsidRDefault="00761E3F" w:rsidP="00761E3F">
    <w:pPr>
      <w:pStyle w:val="Rodap"/>
      <w:spacing w:after="0" w:line="240" w:lineRule="auto"/>
      <w:rPr>
        <w:rFonts w:ascii="Verdana" w:hAnsi="Verdana"/>
        <w:sz w:val="18"/>
        <w:szCs w:val="18"/>
        <w:lang w:val="es-ES_tradnl"/>
      </w:rPr>
    </w:pPr>
    <w:r w:rsidRPr="003213E5">
      <w:rPr>
        <w:rFonts w:ascii="Verdana" w:hAnsi="Verdana"/>
        <w:sz w:val="18"/>
        <w:szCs w:val="18"/>
        <w:lang w:val="es-ES_tradnl"/>
      </w:rPr>
      <w:t xml:space="preserve">Recibido: </w:t>
    </w:r>
    <w:r w:rsidR="00297F18">
      <w:rPr>
        <w:rFonts w:ascii="Verdana" w:hAnsi="Verdana"/>
        <w:sz w:val="18"/>
        <w:szCs w:val="18"/>
        <w:lang w:val="es-ES_tradnl"/>
      </w:rPr>
      <w:t>xx</w:t>
    </w:r>
    <w:r>
      <w:rPr>
        <w:rFonts w:ascii="Verdana" w:hAnsi="Verdana"/>
        <w:sz w:val="18"/>
        <w:szCs w:val="18"/>
        <w:lang w:val="es-ES_tradnl"/>
      </w:rPr>
      <w:t>/</w:t>
    </w:r>
    <w:r w:rsidR="00297F18">
      <w:rPr>
        <w:rFonts w:ascii="Verdana" w:hAnsi="Verdana"/>
        <w:sz w:val="18"/>
        <w:szCs w:val="18"/>
        <w:lang w:val="es-ES_tradnl"/>
      </w:rPr>
      <w:t>xx</w:t>
    </w:r>
    <w:r>
      <w:rPr>
        <w:rFonts w:ascii="Verdana" w:hAnsi="Verdana"/>
        <w:sz w:val="18"/>
        <w:szCs w:val="18"/>
        <w:lang w:val="es-ES_tradnl"/>
      </w:rPr>
      <w:t>/</w:t>
    </w:r>
    <w:proofErr w:type="spellStart"/>
    <w:r w:rsidR="00297F18">
      <w:rPr>
        <w:rFonts w:ascii="Verdana" w:hAnsi="Verdana"/>
        <w:sz w:val="18"/>
        <w:szCs w:val="18"/>
        <w:lang w:val="es-ES_tradnl"/>
      </w:rPr>
      <w:t>xxxx</w:t>
    </w:r>
    <w:proofErr w:type="spellEnd"/>
  </w:p>
  <w:p w14:paraId="4AC1CC68" w14:textId="7C6F739C" w:rsidR="00761E3F" w:rsidRPr="00761E3F" w:rsidRDefault="00761E3F">
    <w:pPr>
      <w:pStyle w:val="Rodap"/>
      <w:rPr>
        <w:rFonts w:ascii="Verdana" w:hAnsi="Verdana"/>
        <w:sz w:val="18"/>
        <w:szCs w:val="18"/>
        <w:lang w:val="es-ES_tradnl"/>
      </w:rPr>
    </w:pPr>
    <w:r w:rsidRPr="003213E5">
      <w:rPr>
        <w:rFonts w:ascii="Verdana" w:hAnsi="Verdana"/>
        <w:sz w:val="18"/>
        <w:szCs w:val="18"/>
        <w:lang w:val="es-ES_tradnl"/>
      </w:rPr>
      <w:t xml:space="preserve">Aceptado: </w:t>
    </w:r>
    <w:r w:rsidR="00297F18">
      <w:rPr>
        <w:rFonts w:ascii="Verdana" w:hAnsi="Verdana"/>
        <w:sz w:val="18"/>
        <w:szCs w:val="18"/>
        <w:lang w:val="es-ES_tradnl"/>
      </w:rPr>
      <w:t>xx</w:t>
    </w:r>
    <w:r w:rsidRPr="003213E5">
      <w:rPr>
        <w:rFonts w:ascii="Verdana" w:hAnsi="Verdana"/>
        <w:sz w:val="18"/>
        <w:szCs w:val="18"/>
        <w:lang w:val="es-ES_tradnl"/>
      </w:rPr>
      <w:t>/</w:t>
    </w:r>
    <w:r w:rsidR="00297F18">
      <w:rPr>
        <w:rFonts w:ascii="Verdana" w:hAnsi="Verdana"/>
        <w:sz w:val="18"/>
        <w:szCs w:val="18"/>
        <w:lang w:val="es-ES_tradnl"/>
      </w:rPr>
      <w:t>xx</w:t>
    </w:r>
    <w:r>
      <w:rPr>
        <w:rFonts w:ascii="Verdana" w:hAnsi="Verdana"/>
        <w:sz w:val="18"/>
        <w:szCs w:val="18"/>
        <w:lang w:val="es-ES_tradnl"/>
      </w:rPr>
      <w:t>/</w:t>
    </w:r>
    <w:proofErr w:type="spellStart"/>
    <w:r w:rsidR="00297F18">
      <w:rPr>
        <w:rFonts w:ascii="Verdana" w:hAnsi="Verdana"/>
        <w:sz w:val="18"/>
        <w:szCs w:val="18"/>
        <w:lang w:val="es-ES_tradnl"/>
      </w:rPr>
      <w:t>xxxx</w:t>
    </w:r>
    <w:proofErr w:type="spellEnd"/>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FE02E7" w14:textId="77777777" w:rsidR="002B1F9D" w:rsidRDefault="002B1F9D" w:rsidP="003D3437">
      <w:pPr>
        <w:spacing w:after="0" w:line="240" w:lineRule="auto"/>
      </w:pPr>
      <w:r>
        <w:separator/>
      </w:r>
    </w:p>
  </w:footnote>
  <w:footnote w:type="continuationSeparator" w:id="0">
    <w:p w14:paraId="058F241B" w14:textId="77777777" w:rsidR="002B1F9D" w:rsidRDefault="002B1F9D" w:rsidP="003D3437">
      <w:pPr>
        <w:spacing w:after="0" w:line="240" w:lineRule="auto"/>
      </w:pPr>
      <w:r>
        <w:continuationSeparator/>
      </w:r>
    </w:p>
  </w:footnote>
  <w:footnote w:id="1">
    <w:p w14:paraId="5BD7B93C" w14:textId="4B44870A" w:rsidR="00A50E6A" w:rsidRPr="0096030C" w:rsidRDefault="00A50E6A" w:rsidP="0096030C">
      <w:pPr>
        <w:pStyle w:val="Textodenotaderodap"/>
        <w:spacing w:after="0"/>
        <w:jc w:val="both"/>
        <w:rPr>
          <w:rFonts w:ascii="Verdana" w:hAnsi="Verdana"/>
          <w:sz w:val="18"/>
          <w:szCs w:val="18"/>
        </w:rPr>
      </w:pPr>
      <w:r w:rsidRPr="0096030C">
        <w:rPr>
          <w:rStyle w:val="Refdenotaderodap"/>
          <w:rFonts w:ascii="Verdana" w:hAnsi="Verdana"/>
          <w:sz w:val="18"/>
          <w:szCs w:val="18"/>
        </w:rPr>
        <w:footnoteRef/>
      </w:r>
      <w:r w:rsidRPr="0096030C">
        <w:rPr>
          <w:rFonts w:ascii="Verdana" w:hAnsi="Verdana"/>
          <w:sz w:val="18"/>
          <w:szCs w:val="18"/>
        </w:rPr>
        <w:t xml:space="preserve"> </w:t>
      </w:r>
      <w:r w:rsidR="007D698A" w:rsidRPr="0096030C">
        <w:rPr>
          <w:rFonts w:ascii="Verdana" w:hAnsi="Verdana"/>
          <w:sz w:val="18"/>
          <w:szCs w:val="18"/>
        </w:rPr>
        <w:t xml:space="preserve">Doutora em Direito pela Universidade do Vale do Rio dos Sinos, com período sanduíche na </w:t>
      </w:r>
      <w:proofErr w:type="spellStart"/>
      <w:r w:rsidR="007D698A" w:rsidRPr="0096030C">
        <w:rPr>
          <w:rFonts w:ascii="Verdana" w:hAnsi="Verdana"/>
          <w:sz w:val="18"/>
          <w:szCs w:val="18"/>
        </w:rPr>
        <w:t>Universidad</w:t>
      </w:r>
      <w:proofErr w:type="spellEnd"/>
      <w:r w:rsidR="007D698A" w:rsidRPr="0096030C">
        <w:rPr>
          <w:rFonts w:ascii="Verdana" w:hAnsi="Verdana"/>
          <w:sz w:val="18"/>
          <w:szCs w:val="18"/>
        </w:rPr>
        <w:t xml:space="preserve"> de Sevilla (Espanha). Mestre e Graduada em Direito pela Universidade de Santa Cruz do Sul. Professora de Direito Constitucional e Ciência Política na Faculdade Meridional - IMED. Professora do Programa de Pós-Graduação Stricto Sensu (Mestrado) na Faculdade Meridional - IMED.  Coordenadora do Grupo de Pesquisa Direitos Fundamentais, Democracia e Desigualdade, vinculado ao CNPq.</w:t>
      </w:r>
    </w:p>
  </w:footnote>
  <w:footnote w:id="2">
    <w:p w14:paraId="283DA99F" w14:textId="0196E442" w:rsidR="006E67B4" w:rsidRPr="0096030C" w:rsidRDefault="006E67B4" w:rsidP="0096030C">
      <w:pPr>
        <w:pStyle w:val="Textodenotaderodap"/>
        <w:spacing w:after="0"/>
        <w:jc w:val="both"/>
        <w:rPr>
          <w:rFonts w:ascii="Verdana" w:hAnsi="Verdana"/>
          <w:sz w:val="18"/>
          <w:szCs w:val="18"/>
        </w:rPr>
      </w:pPr>
      <w:r w:rsidRPr="0096030C">
        <w:rPr>
          <w:rStyle w:val="Refdenotaderodap"/>
          <w:rFonts w:ascii="Verdana" w:hAnsi="Verdana"/>
          <w:sz w:val="18"/>
          <w:szCs w:val="18"/>
        </w:rPr>
        <w:footnoteRef/>
      </w:r>
      <w:r w:rsidRPr="0096030C">
        <w:rPr>
          <w:rFonts w:ascii="Verdana" w:hAnsi="Verdana"/>
          <w:sz w:val="18"/>
          <w:szCs w:val="18"/>
        </w:rPr>
        <w:t xml:space="preserve"> </w:t>
      </w:r>
      <w:r w:rsidR="007D698A" w:rsidRPr="0096030C">
        <w:rPr>
          <w:rFonts w:ascii="Verdana" w:hAnsi="Verdana"/>
          <w:sz w:val="18"/>
          <w:szCs w:val="18"/>
        </w:rPr>
        <w:t>Mestranda em Direito, Democracia e Sustentabilidade na Faculdade Meridional - IMED. Bolsista CAPES. Graduada em Direito pela Faculdade Meridional – IMED. Integrante do Grupo de Pesquisa Direitos Fundamentais, Democracia e Desigualdade, vinculado ao CNPq. Advogada.</w:t>
      </w:r>
    </w:p>
  </w:footnote>
  <w:footnote w:id="3">
    <w:p w14:paraId="35A40BBE" w14:textId="77777777" w:rsidR="007D698A" w:rsidRPr="0096030C" w:rsidRDefault="007D698A" w:rsidP="0096030C">
      <w:pPr>
        <w:spacing w:after="0" w:line="240" w:lineRule="auto"/>
        <w:jc w:val="both"/>
        <w:rPr>
          <w:rFonts w:ascii="Verdana" w:hAnsi="Verdana"/>
          <w:sz w:val="18"/>
          <w:szCs w:val="18"/>
        </w:rPr>
      </w:pPr>
      <w:r w:rsidRPr="0096030C">
        <w:rPr>
          <w:rStyle w:val="Refdenotaderodap"/>
          <w:rFonts w:ascii="Verdana" w:hAnsi="Verdana"/>
          <w:sz w:val="18"/>
          <w:szCs w:val="18"/>
        </w:rPr>
        <w:footnoteRef/>
      </w:r>
      <w:r w:rsidRPr="0096030C">
        <w:rPr>
          <w:rFonts w:ascii="Verdana" w:hAnsi="Verdana"/>
          <w:sz w:val="18"/>
          <w:szCs w:val="18"/>
        </w:rPr>
        <w:t xml:space="preserve"> HELD, D.; MCGEW, A. </w:t>
      </w:r>
      <w:r w:rsidRPr="0096030C">
        <w:rPr>
          <w:rFonts w:ascii="Verdana" w:hAnsi="Verdana"/>
          <w:bCs/>
          <w:i/>
          <w:iCs/>
          <w:sz w:val="18"/>
          <w:szCs w:val="18"/>
        </w:rPr>
        <w:t>Prós e contras da globalização</w:t>
      </w:r>
      <w:r w:rsidRPr="0096030C">
        <w:rPr>
          <w:rFonts w:ascii="Verdana" w:hAnsi="Verdana"/>
          <w:b/>
          <w:sz w:val="18"/>
          <w:szCs w:val="18"/>
        </w:rPr>
        <w:t>.</w:t>
      </w:r>
      <w:r w:rsidRPr="0096030C">
        <w:rPr>
          <w:rFonts w:ascii="Verdana" w:hAnsi="Verdana"/>
          <w:sz w:val="18"/>
          <w:szCs w:val="18"/>
        </w:rPr>
        <w:t xml:space="preserve"> Trad. RIBEIRO, V., Ed. Jorge </w:t>
      </w:r>
      <w:proofErr w:type="spellStart"/>
      <w:r w:rsidRPr="0096030C">
        <w:rPr>
          <w:rFonts w:ascii="Verdana" w:hAnsi="Verdana"/>
          <w:sz w:val="18"/>
          <w:szCs w:val="18"/>
        </w:rPr>
        <w:t>Jahar</w:t>
      </w:r>
      <w:proofErr w:type="spellEnd"/>
      <w:r w:rsidRPr="0096030C">
        <w:rPr>
          <w:rFonts w:ascii="Verdana" w:hAnsi="Verdana"/>
          <w:sz w:val="18"/>
          <w:szCs w:val="18"/>
        </w:rPr>
        <w:t>, Rio de Janeiro, 2001, p. 13.</w:t>
      </w:r>
    </w:p>
  </w:footnote>
  <w:footnote w:id="4">
    <w:p w14:paraId="71635276" w14:textId="77777777" w:rsidR="007D698A" w:rsidRPr="0096030C" w:rsidRDefault="007D698A" w:rsidP="0096030C">
      <w:pPr>
        <w:spacing w:after="0" w:line="240" w:lineRule="auto"/>
        <w:jc w:val="both"/>
        <w:rPr>
          <w:rFonts w:ascii="Verdana" w:hAnsi="Verdana"/>
          <w:sz w:val="18"/>
          <w:szCs w:val="18"/>
        </w:rPr>
      </w:pPr>
      <w:r w:rsidRPr="0096030C">
        <w:rPr>
          <w:rStyle w:val="Refdenotaderodap"/>
          <w:rFonts w:ascii="Verdana" w:hAnsi="Verdana"/>
          <w:sz w:val="18"/>
          <w:szCs w:val="18"/>
        </w:rPr>
        <w:footnoteRef/>
      </w:r>
      <w:r w:rsidRPr="0096030C">
        <w:rPr>
          <w:rFonts w:ascii="Verdana" w:hAnsi="Verdana"/>
          <w:sz w:val="18"/>
          <w:szCs w:val="18"/>
        </w:rPr>
        <w:t xml:space="preserve"> HELD, D.; MCGEW, A. </w:t>
      </w:r>
      <w:r w:rsidRPr="0096030C">
        <w:rPr>
          <w:rFonts w:ascii="Verdana" w:hAnsi="Verdana"/>
          <w:bCs/>
          <w:i/>
          <w:iCs/>
          <w:sz w:val="18"/>
          <w:szCs w:val="18"/>
        </w:rPr>
        <w:t>Prós e contras da globalização</w:t>
      </w:r>
      <w:r w:rsidRPr="0096030C">
        <w:rPr>
          <w:rFonts w:ascii="Verdana" w:hAnsi="Verdana"/>
          <w:b/>
          <w:sz w:val="18"/>
          <w:szCs w:val="18"/>
        </w:rPr>
        <w:t>.</w:t>
      </w:r>
      <w:r w:rsidRPr="0096030C">
        <w:rPr>
          <w:rFonts w:ascii="Verdana" w:hAnsi="Verdana"/>
          <w:sz w:val="18"/>
          <w:szCs w:val="18"/>
        </w:rPr>
        <w:t xml:space="preserve"> Trad. RIBEIRO, V., Ed. Jorge </w:t>
      </w:r>
      <w:proofErr w:type="spellStart"/>
      <w:r w:rsidRPr="0096030C">
        <w:rPr>
          <w:rFonts w:ascii="Verdana" w:hAnsi="Verdana"/>
          <w:sz w:val="18"/>
          <w:szCs w:val="18"/>
        </w:rPr>
        <w:t>Jahar</w:t>
      </w:r>
      <w:proofErr w:type="spellEnd"/>
      <w:r w:rsidRPr="0096030C">
        <w:rPr>
          <w:rFonts w:ascii="Verdana" w:hAnsi="Verdana"/>
          <w:sz w:val="18"/>
          <w:szCs w:val="18"/>
        </w:rPr>
        <w:t>, Rio de Janeiro, 2001, p. 13.</w:t>
      </w:r>
    </w:p>
  </w:footnote>
  <w:footnote w:id="5">
    <w:p w14:paraId="0A5F5BED" w14:textId="77777777" w:rsidR="007D698A" w:rsidRPr="0096030C" w:rsidRDefault="007D698A" w:rsidP="0096030C">
      <w:pPr>
        <w:autoSpaceDE w:val="0"/>
        <w:autoSpaceDN w:val="0"/>
        <w:adjustRightInd w:val="0"/>
        <w:spacing w:after="0" w:line="240" w:lineRule="auto"/>
        <w:jc w:val="both"/>
        <w:rPr>
          <w:rFonts w:ascii="Verdana" w:hAnsi="Verdana"/>
          <w:sz w:val="18"/>
          <w:szCs w:val="18"/>
        </w:rPr>
      </w:pPr>
      <w:r w:rsidRPr="0096030C">
        <w:rPr>
          <w:rStyle w:val="Refdenotaderodap"/>
          <w:rFonts w:ascii="Verdana" w:hAnsi="Verdana"/>
          <w:sz w:val="18"/>
          <w:szCs w:val="18"/>
        </w:rPr>
        <w:footnoteRef/>
      </w:r>
      <w:r w:rsidRPr="0096030C">
        <w:rPr>
          <w:rFonts w:ascii="Verdana" w:hAnsi="Verdana"/>
          <w:sz w:val="18"/>
          <w:szCs w:val="18"/>
        </w:rPr>
        <w:t xml:space="preserve"> “Como a economia se tornou planetária, os modelos de produção mudam nas barbas dos governantes. Os investimentos acompanham o desenvolvimento de mercados de capitais que escapam cada vez mais a qualquer intervenção estatal. As já poderosas empresas multinacionais adquirem, assim, um poder de negociação e de regateio que lhes permitem escapar, na prática, às exigências dos Estados. Elas se tornam transnacionais e inventam regulações ao sabor das suas necessidades”. ARNAUD, A. </w:t>
      </w:r>
      <w:r w:rsidRPr="0096030C">
        <w:rPr>
          <w:rFonts w:ascii="Verdana" w:hAnsi="Verdana"/>
          <w:bCs/>
          <w:i/>
          <w:iCs/>
          <w:sz w:val="18"/>
          <w:szCs w:val="18"/>
        </w:rPr>
        <w:t>Governar sem fronteiras</w:t>
      </w:r>
      <w:r w:rsidRPr="0096030C">
        <w:rPr>
          <w:rFonts w:ascii="Verdana" w:hAnsi="Verdana"/>
          <w:i/>
          <w:iCs/>
          <w:sz w:val="18"/>
          <w:szCs w:val="18"/>
        </w:rPr>
        <w:t>: entre globalização e pós globalização</w:t>
      </w:r>
      <w:r w:rsidRPr="0096030C">
        <w:rPr>
          <w:rFonts w:ascii="Verdana" w:hAnsi="Verdana"/>
          <w:sz w:val="18"/>
          <w:szCs w:val="18"/>
        </w:rPr>
        <w:t xml:space="preserve">, Ed. </w:t>
      </w:r>
      <w:proofErr w:type="spellStart"/>
      <w:r w:rsidRPr="0096030C">
        <w:rPr>
          <w:rFonts w:ascii="Verdana" w:hAnsi="Verdana"/>
          <w:sz w:val="18"/>
          <w:szCs w:val="18"/>
        </w:rPr>
        <w:t>Lumen</w:t>
      </w:r>
      <w:proofErr w:type="spellEnd"/>
      <w:r w:rsidRPr="0096030C">
        <w:rPr>
          <w:rFonts w:ascii="Verdana" w:hAnsi="Verdana"/>
          <w:sz w:val="18"/>
          <w:szCs w:val="18"/>
        </w:rPr>
        <w:t xml:space="preserve"> Juris, Rio de Janeiro, 2007, p. 20.</w:t>
      </w:r>
    </w:p>
  </w:footnote>
  <w:footnote w:id="6">
    <w:p w14:paraId="07564BAC" w14:textId="77777777" w:rsidR="007D698A" w:rsidRPr="0096030C" w:rsidRDefault="007D698A" w:rsidP="0096030C">
      <w:pPr>
        <w:pStyle w:val="SemEspaamento"/>
        <w:jc w:val="both"/>
        <w:rPr>
          <w:rFonts w:ascii="Verdana" w:hAnsi="Verdana"/>
          <w:sz w:val="18"/>
          <w:szCs w:val="18"/>
        </w:rPr>
      </w:pPr>
      <w:r w:rsidRPr="0096030C">
        <w:rPr>
          <w:rStyle w:val="Refdenotaderodap"/>
          <w:rFonts w:ascii="Verdana" w:hAnsi="Verdana"/>
          <w:sz w:val="18"/>
          <w:szCs w:val="18"/>
        </w:rPr>
        <w:footnoteRef/>
      </w:r>
      <w:r w:rsidRPr="0096030C">
        <w:rPr>
          <w:rFonts w:ascii="Verdana" w:hAnsi="Verdana"/>
          <w:sz w:val="18"/>
          <w:szCs w:val="18"/>
        </w:rPr>
        <w:t xml:space="preserve"> A modernidade, em seu projeto de Estado, encampou a produção normativa como exclusivamente estatal, fazendo com que a atividade estatal aglutinasse toda a autoridade. Ao contrário desse panorama, com o advento da globalização, a criação de normas de regulação por atores privados coloca em ruptura o projeto de Estado moderno. Sobre o tema, </w:t>
      </w:r>
      <w:proofErr w:type="spellStart"/>
      <w:r w:rsidRPr="0096030C">
        <w:rPr>
          <w:rFonts w:ascii="Verdana" w:hAnsi="Verdana"/>
          <w:sz w:val="18"/>
          <w:szCs w:val="18"/>
        </w:rPr>
        <w:t>Staffen</w:t>
      </w:r>
      <w:proofErr w:type="spellEnd"/>
      <w:r w:rsidRPr="0096030C">
        <w:rPr>
          <w:rFonts w:ascii="Verdana" w:hAnsi="Verdana"/>
          <w:sz w:val="18"/>
          <w:szCs w:val="18"/>
        </w:rPr>
        <w:t xml:space="preserve"> destaca que: “torna-se possível analisar o aspecto neutralizador promovido pela construção do Estado Moderno, ao elevar o princípio da territorialidade e da soberania política como sua razão de ser. Desde então, o que se observa é a hegemonização das capacidades normativas, associadas na produção, aplicação e execução das normas apenas no núcleo do Estado nacional, delimitando sua incidência em razão do confinamento territorial que exerce”. STAFFEN, M. R. </w:t>
      </w:r>
      <w:r w:rsidRPr="0096030C">
        <w:rPr>
          <w:rFonts w:ascii="Verdana" w:hAnsi="Verdana"/>
          <w:bCs/>
          <w:i/>
          <w:iCs/>
          <w:sz w:val="18"/>
          <w:szCs w:val="18"/>
        </w:rPr>
        <w:t>Interfaces do direito global</w:t>
      </w:r>
      <w:r w:rsidRPr="0096030C">
        <w:rPr>
          <w:rFonts w:ascii="Verdana" w:hAnsi="Verdana"/>
          <w:sz w:val="18"/>
          <w:szCs w:val="18"/>
        </w:rPr>
        <w:t xml:space="preserve">. 2. </w:t>
      </w:r>
      <w:proofErr w:type="spellStart"/>
      <w:r w:rsidRPr="0096030C">
        <w:rPr>
          <w:rFonts w:ascii="Verdana" w:hAnsi="Verdana"/>
          <w:sz w:val="18"/>
          <w:szCs w:val="18"/>
        </w:rPr>
        <w:t>ed</w:t>
      </w:r>
      <w:proofErr w:type="spellEnd"/>
      <w:r w:rsidRPr="0096030C">
        <w:rPr>
          <w:rFonts w:ascii="Verdana" w:hAnsi="Verdana"/>
          <w:sz w:val="18"/>
          <w:szCs w:val="18"/>
        </w:rPr>
        <w:t xml:space="preserve">, </w:t>
      </w:r>
      <w:proofErr w:type="spellStart"/>
      <w:r w:rsidRPr="0096030C">
        <w:rPr>
          <w:rFonts w:ascii="Verdana" w:hAnsi="Verdana"/>
          <w:sz w:val="18"/>
          <w:szCs w:val="18"/>
        </w:rPr>
        <w:t>Lumen</w:t>
      </w:r>
      <w:proofErr w:type="spellEnd"/>
      <w:r w:rsidRPr="0096030C">
        <w:rPr>
          <w:rFonts w:ascii="Verdana" w:hAnsi="Verdana"/>
          <w:sz w:val="18"/>
          <w:szCs w:val="18"/>
        </w:rPr>
        <w:t xml:space="preserve"> Juris, Rio de Janeiro, 2018, p. 13.</w:t>
      </w:r>
    </w:p>
  </w:footnote>
  <w:footnote w:id="7">
    <w:p w14:paraId="14A1BE48" w14:textId="77777777" w:rsidR="007D698A" w:rsidRPr="0096030C" w:rsidRDefault="007D698A" w:rsidP="0096030C">
      <w:pPr>
        <w:pStyle w:val="SemEspaamento"/>
        <w:jc w:val="both"/>
        <w:rPr>
          <w:rFonts w:ascii="Verdana" w:hAnsi="Verdana"/>
          <w:sz w:val="18"/>
          <w:szCs w:val="18"/>
        </w:rPr>
      </w:pPr>
      <w:r w:rsidRPr="0096030C">
        <w:rPr>
          <w:rStyle w:val="Refdenotaderodap"/>
          <w:rFonts w:ascii="Verdana" w:hAnsi="Verdana"/>
          <w:sz w:val="18"/>
          <w:szCs w:val="18"/>
        </w:rPr>
        <w:footnoteRef/>
      </w:r>
      <w:r w:rsidRPr="0096030C">
        <w:rPr>
          <w:rFonts w:ascii="Verdana" w:hAnsi="Verdana"/>
          <w:sz w:val="18"/>
          <w:szCs w:val="18"/>
        </w:rPr>
        <w:t xml:space="preserve"> STAFFEN, M. R. </w:t>
      </w:r>
      <w:r w:rsidRPr="0096030C">
        <w:rPr>
          <w:rFonts w:ascii="Verdana" w:hAnsi="Verdana"/>
          <w:bCs/>
          <w:i/>
          <w:iCs/>
          <w:sz w:val="18"/>
          <w:szCs w:val="18"/>
        </w:rPr>
        <w:t>Interfaces do direito global</w:t>
      </w:r>
      <w:r w:rsidRPr="0096030C">
        <w:rPr>
          <w:rFonts w:ascii="Verdana" w:hAnsi="Verdana"/>
          <w:sz w:val="18"/>
          <w:szCs w:val="18"/>
        </w:rPr>
        <w:t xml:space="preserve">. 2. </w:t>
      </w:r>
      <w:proofErr w:type="spellStart"/>
      <w:r w:rsidRPr="0096030C">
        <w:rPr>
          <w:rFonts w:ascii="Verdana" w:hAnsi="Verdana"/>
          <w:sz w:val="18"/>
          <w:szCs w:val="18"/>
        </w:rPr>
        <w:t>ed</w:t>
      </w:r>
      <w:proofErr w:type="spellEnd"/>
      <w:r w:rsidRPr="0096030C">
        <w:rPr>
          <w:rFonts w:ascii="Verdana" w:hAnsi="Verdana"/>
          <w:sz w:val="18"/>
          <w:szCs w:val="18"/>
        </w:rPr>
        <w:t xml:space="preserve">, </w:t>
      </w:r>
      <w:proofErr w:type="spellStart"/>
      <w:r w:rsidRPr="0096030C">
        <w:rPr>
          <w:rFonts w:ascii="Verdana" w:hAnsi="Verdana"/>
          <w:sz w:val="18"/>
          <w:szCs w:val="18"/>
        </w:rPr>
        <w:t>Lumen</w:t>
      </w:r>
      <w:proofErr w:type="spellEnd"/>
      <w:r w:rsidRPr="0096030C">
        <w:rPr>
          <w:rFonts w:ascii="Verdana" w:hAnsi="Verdana"/>
          <w:sz w:val="18"/>
          <w:szCs w:val="18"/>
        </w:rPr>
        <w:t xml:space="preserve"> Juris, Rio de Janeiro, 2018. p. 14.</w:t>
      </w:r>
    </w:p>
  </w:footnote>
  <w:footnote w:id="8">
    <w:p w14:paraId="1C0D9DDC" w14:textId="77777777" w:rsidR="007D698A" w:rsidRPr="0096030C" w:rsidRDefault="007D698A" w:rsidP="0096030C">
      <w:pPr>
        <w:pStyle w:val="SemEspaamento"/>
        <w:jc w:val="both"/>
        <w:rPr>
          <w:rFonts w:ascii="Verdana" w:hAnsi="Verdana"/>
          <w:sz w:val="18"/>
          <w:szCs w:val="18"/>
        </w:rPr>
      </w:pPr>
      <w:r w:rsidRPr="0096030C">
        <w:rPr>
          <w:rStyle w:val="Refdenotaderodap"/>
          <w:rFonts w:ascii="Verdana" w:hAnsi="Verdana"/>
          <w:sz w:val="18"/>
          <w:szCs w:val="18"/>
        </w:rPr>
        <w:footnoteRef/>
      </w:r>
      <w:r w:rsidRPr="0096030C">
        <w:rPr>
          <w:rFonts w:ascii="Verdana" w:hAnsi="Verdana"/>
          <w:sz w:val="18"/>
          <w:szCs w:val="18"/>
        </w:rPr>
        <w:t xml:space="preserve"> A globalização representa também um desafio para o campo jurídico, já que a noção do direito predominantemente era vista como um aparato tipicamente estatal, ou seja, exclusivamente oriundo do Estado e do monopólio da força sobre a qual a soberania encontrava fundamento. CRUZ, P. M.; OLIVIERO, M</w:t>
      </w:r>
      <w:r w:rsidRPr="0096030C">
        <w:rPr>
          <w:rFonts w:ascii="Verdana" w:hAnsi="Verdana"/>
          <w:b/>
          <w:sz w:val="18"/>
          <w:szCs w:val="18"/>
        </w:rPr>
        <w:t>. “</w:t>
      </w:r>
      <w:r w:rsidRPr="0096030C">
        <w:rPr>
          <w:rFonts w:ascii="Verdana" w:hAnsi="Verdana"/>
          <w:sz w:val="18"/>
          <w:szCs w:val="18"/>
        </w:rPr>
        <w:t xml:space="preserve">Fundamentos de Direito Transnacional”, in </w:t>
      </w:r>
      <w:r w:rsidRPr="0096030C">
        <w:rPr>
          <w:rFonts w:ascii="Verdana" w:hAnsi="Verdana"/>
          <w:i/>
          <w:iCs/>
          <w:sz w:val="18"/>
          <w:szCs w:val="18"/>
        </w:rPr>
        <w:t xml:space="preserve">Direito Global: </w:t>
      </w:r>
      <w:proofErr w:type="spellStart"/>
      <w:r w:rsidRPr="0096030C">
        <w:rPr>
          <w:rFonts w:ascii="Verdana" w:hAnsi="Verdana"/>
          <w:i/>
          <w:iCs/>
          <w:sz w:val="18"/>
          <w:szCs w:val="18"/>
        </w:rPr>
        <w:t>Transnacionalidade</w:t>
      </w:r>
      <w:proofErr w:type="spellEnd"/>
      <w:r w:rsidRPr="0096030C">
        <w:rPr>
          <w:rFonts w:ascii="Verdana" w:hAnsi="Verdana"/>
          <w:i/>
          <w:iCs/>
          <w:sz w:val="18"/>
          <w:szCs w:val="18"/>
        </w:rPr>
        <w:t xml:space="preserve"> e Globalização Jurídica</w:t>
      </w:r>
      <w:r w:rsidRPr="0096030C">
        <w:rPr>
          <w:rFonts w:ascii="Verdana" w:hAnsi="Verdana"/>
          <w:sz w:val="18"/>
          <w:szCs w:val="18"/>
        </w:rPr>
        <w:t xml:space="preserve"> (MORAIS DA ROSA, A.; STAFFEN, M.R.), </w:t>
      </w:r>
      <w:proofErr w:type="spellStart"/>
      <w:proofErr w:type="gramStart"/>
      <w:r w:rsidRPr="0096030C">
        <w:rPr>
          <w:rFonts w:ascii="Verdana" w:hAnsi="Verdana"/>
          <w:sz w:val="18"/>
          <w:szCs w:val="18"/>
        </w:rPr>
        <w:t>Ed.Univali</w:t>
      </w:r>
      <w:proofErr w:type="spellEnd"/>
      <w:proofErr w:type="gramEnd"/>
      <w:r w:rsidRPr="0096030C">
        <w:rPr>
          <w:rFonts w:ascii="Verdana" w:hAnsi="Verdana"/>
          <w:sz w:val="18"/>
          <w:szCs w:val="18"/>
        </w:rPr>
        <w:t>, Itajaí, 2013, p. 33.</w:t>
      </w:r>
    </w:p>
  </w:footnote>
  <w:footnote w:id="9">
    <w:p w14:paraId="516DC242" w14:textId="77777777" w:rsidR="007D698A" w:rsidRPr="0096030C" w:rsidRDefault="007D698A" w:rsidP="0096030C">
      <w:pPr>
        <w:pStyle w:val="SemEspaamento"/>
        <w:jc w:val="both"/>
        <w:rPr>
          <w:rFonts w:ascii="Verdana" w:hAnsi="Verdana"/>
          <w:sz w:val="18"/>
          <w:szCs w:val="18"/>
        </w:rPr>
      </w:pPr>
      <w:r w:rsidRPr="0096030C">
        <w:rPr>
          <w:rStyle w:val="Refdenotaderodap"/>
          <w:rFonts w:ascii="Verdana" w:hAnsi="Verdana"/>
          <w:sz w:val="18"/>
          <w:szCs w:val="18"/>
        </w:rPr>
        <w:footnoteRef/>
      </w:r>
      <w:r w:rsidRPr="0096030C">
        <w:rPr>
          <w:rFonts w:ascii="Verdana" w:hAnsi="Verdana"/>
          <w:sz w:val="18"/>
          <w:szCs w:val="18"/>
        </w:rPr>
        <w:t xml:space="preserve"> GERVASONI, T.A.</w:t>
      </w:r>
      <w:r w:rsidRPr="0096030C">
        <w:rPr>
          <w:rFonts w:ascii="Verdana" w:hAnsi="Verdana"/>
          <w:b/>
          <w:sz w:val="18"/>
          <w:szCs w:val="18"/>
        </w:rPr>
        <w:t xml:space="preserve"> </w:t>
      </w:r>
      <w:r w:rsidRPr="0096030C">
        <w:rPr>
          <w:rFonts w:ascii="Verdana" w:hAnsi="Verdana"/>
          <w:bCs/>
          <w:i/>
          <w:iCs/>
          <w:sz w:val="18"/>
          <w:szCs w:val="18"/>
        </w:rPr>
        <w:t>Estado e Direito em trânsito na pós-modernidade,</w:t>
      </w:r>
      <w:r w:rsidRPr="0096030C">
        <w:rPr>
          <w:rFonts w:ascii="Verdana" w:hAnsi="Verdana"/>
          <w:sz w:val="18"/>
          <w:szCs w:val="18"/>
        </w:rPr>
        <w:t xml:space="preserve"> Empório do Direito, Florianópolis, 2017, p. 167.</w:t>
      </w:r>
    </w:p>
  </w:footnote>
  <w:footnote w:id="10">
    <w:p w14:paraId="7AC246CC" w14:textId="77777777" w:rsidR="007D698A" w:rsidRPr="0096030C" w:rsidRDefault="007D698A" w:rsidP="0096030C">
      <w:pPr>
        <w:spacing w:after="0" w:line="240" w:lineRule="auto"/>
        <w:jc w:val="both"/>
        <w:rPr>
          <w:rFonts w:ascii="Verdana" w:hAnsi="Verdana"/>
          <w:sz w:val="18"/>
          <w:szCs w:val="18"/>
        </w:rPr>
      </w:pPr>
      <w:r w:rsidRPr="0096030C">
        <w:rPr>
          <w:rStyle w:val="Refdenotaderodap"/>
          <w:rFonts w:ascii="Verdana" w:hAnsi="Verdana"/>
          <w:sz w:val="18"/>
          <w:szCs w:val="18"/>
        </w:rPr>
        <w:footnoteRef/>
      </w:r>
      <w:r w:rsidRPr="0096030C">
        <w:rPr>
          <w:rFonts w:ascii="Verdana" w:hAnsi="Verdana"/>
          <w:sz w:val="18"/>
          <w:szCs w:val="18"/>
        </w:rPr>
        <w:t xml:space="preserve"> FERRAJOLI, L. </w:t>
      </w:r>
      <w:r w:rsidRPr="0096030C">
        <w:rPr>
          <w:rFonts w:ascii="Verdana" w:hAnsi="Verdana"/>
          <w:bCs/>
          <w:i/>
          <w:iCs/>
          <w:sz w:val="18"/>
          <w:szCs w:val="18"/>
        </w:rPr>
        <w:t>A Democracia através dos Direitos</w:t>
      </w:r>
      <w:r w:rsidRPr="0096030C">
        <w:rPr>
          <w:rFonts w:ascii="Verdana" w:hAnsi="Verdana"/>
          <w:b/>
          <w:sz w:val="18"/>
          <w:szCs w:val="18"/>
        </w:rPr>
        <w:t>:</w:t>
      </w:r>
      <w:r w:rsidRPr="0096030C">
        <w:rPr>
          <w:rFonts w:ascii="Verdana" w:hAnsi="Verdana"/>
          <w:sz w:val="18"/>
          <w:szCs w:val="18"/>
        </w:rPr>
        <w:t xml:space="preserve"> o constitucionalismo </w:t>
      </w:r>
      <w:proofErr w:type="spellStart"/>
      <w:r w:rsidRPr="0096030C">
        <w:rPr>
          <w:rFonts w:ascii="Verdana" w:hAnsi="Verdana"/>
          <w:sz w:val="18"/>
          <w:szCs w:val="18"/>
        </w:rPr>
        <w:t>garantista</w:t>
      </w:r>
      <w:proofErr w:type="spellEnd"/>
      <w:r w:rsidRPr="0096030C">
        <w:rPr>
          <w:rFonts w:ascii="Verdana" w:hAnsi="Verdana"/>
          <w:sz w:val="18"/>
          <w:szCs w:val="18"/>
        </w:rPr>
        <w:t xml:space="preserve"> como modelo teórico e como projeto político, Revista dos Tribunais, 2015, p. 147-148.</w:t>
      </w:r>
    </w:p>
  </w:footnote>
  <w:footnote w:id="11">
    <w:p w14:paraId="0A2304BC" w14:textId="77777777" w:rsidR="007D698A" w:rsidRPr="0096030C" w:rsidRDefault="007D698A" w:rsidP="0096030C">
      <w:pPr>
        <w:pStyle w:val="SemEspaamento"/>
        <w:jc w:val="both"/>
        <w:rPr>
          <w:rFonts w:ascii="Verdana" w:hAnsi="Verdana"/>
          <w:sz w:val="18"/>
          <w:szCs w:val="18"/>
        </w:rPr>
      </w:pPr>
      <w:r w:rsidRPr="0096030C">
        <w:rPr>
          <w:rStyle w:val="Refdenotaderodap"/>
          <w:rFonts w:ascii="Verdana" w:hAnsi="Verdana"/>
          <w:sz w:val="18"/>
          <w:szCs w:val="18"/>
        </w:rPr>
        <w:footnoteRef/>
      </w:r>
      <w:r w:rsidRPr="0096030C">
        <w:rPr>
          <w:rFonts w:ascii="Verdana" w:hAnsi="Verdana"/>
          <w:sz w:val="18"/>
          <w:szCs w:val="18"/>
        </w:rPr>
        <w:t xml:space="preserve"> </w:t>
      </w:r>
      <w:proofErr w:type="spellStart"/>
      <w:r w:rsidRPr="0096030C">
        <w:rPr>
          <w:rFonts w:ascii="Verdana" w:hAnsi="Verdana"/>
          <w:sz w:val="18"/>
          <w:szCs w:val="18"/>
        </w:rPr>
        <w:t>Policentricidade</w:t>
      </w:r>
      <w:proofErr w:type="spellEnd"/>
      <w:r w:rsidRPr="0096030C">
        <w:rPr>
          <w:rFonts w:ascii="Verdana" w:hAnsi="Verdana"/>
          <w:sz w:val="18"/>
          <w:szCs w:val="18"/>
        </w:rPr>
        <w:t xml:space="preserve"> indica “[...] a existência de lugares múltiplos de produção da regulação jurídica”. ARNAUD, A. </w:t>
      </w:r>
      <w:r w:rsidRPr="0096030C">
        <w:rPr>
          <w:rFonts w:ascii="Verdana" w:hAnsi="Verdana"/>
          <w:bCs/>
          <w:i/>
          <w:iCs/>
          <w:sz w:val="18"/>
          <w:szCs w:val="18"/>
        </w:rPr>
        <w:t>Governar sem fronteiras</w:t>
      </w:r>
      <w:r w:rsidRPr="0096030C">
        <w:rPr>
          <w:rFonts w:ascii="Verdana" w:hAnsi="Verdana"/>
          <w:i/>
          <w:iCs/>
          <w:sz w:val="18"/>
          <w:szCs w:val="18"/>
        </w:rPr>
        <w:t>: entre globalização e pós globalização</w:t>
      </w:r>
      <w:r w:rsidRPr="0096030C">
        <w:rPr>
          <w:rFonts w:ascii="Verdana" w:hAnsi="Verdana"/>
          <w:sz w:val="18"/>
          <w:szCs w:val="18"/>
        </w:rPr>
        <w:t xml:space="preserve">, Ed. </w:t>
      </w:r>
      <w:proofErr w:type="spellStart"/>
      <w:r w:rsidRPr="0096030C">
        <w:rPr>
          <w:rFonts w:ascii="Verdana" w:hAnsi="Verdana"/>
          <w:sz w:val="18"/>
          <w:szCs w:val="18"/>
        </w:rPr>
        <w:t>Lumen</w:t>
      </w:r>
      <w:proofErr w:type="spellEnd"/>
      <w:r w:rsidRPr="0096030C">
        <w:rPr>
          <w:rFonts w:ascii="Verdana" w:hAnsi="Verdana"/>
          <w:sz w:val="18"/>
          <w:szCs w:val="18"/>
        </w:rPr>
        <w:t xml:space="preserve"> Juris, Rio de Janeiro, 2007, p. 146.</w:t>
      </w:r>
    </w:p>
  </w:footnote>
  <w:footnote w:id="12">
    <w:p w14:paraId="7C796740" w14:textId="77777777" w:rsidR="007D698A" w:rsidRPr="0096030C" w:rsidRDefault="007D698A" w:rsidP="0096030C">
      <w:pPr>
        <w:pStyle w:val="SemEspaamento"/>
        <w:jc w:val="both"/>
        <w:rPr>
          <w:rFonts w:ascii="Verdana" w:hAnsi="Verdana"/>
          <w:sz w:val="18"/>
          <w:szCs w:val="18"/>
        </w:rPr>
      </w:pPr>
      <w:r w:rsidRPr="0096030C">
        <w:rPr>
          <w:rStyle w:val="Refdenotaderodap"/>
          <w:rFonts w:ascii="Verdana" w:hAnsi="Verdana"/>
          <w:sz w:val="18"/>
          <w:szCs w:val="18"/>
        </w:rPr>
        <w:footnoteRef/>
      </w:r>
      <w:r w:rsidRPr="0096030C">
        <w:rPr>
          <w:rFonts w:ascii="Verdana" w:hAnsi="Verdana"/>
          <w:sz w:val="18"/>
          <w:szCs w:val="18"/>
        </w:rPr>
        <w:t xml:space="preserve"> FARIA, J. E. “</w:t>
      </w:r>
      <w:proofErr w:type="spellStart"/>
      <w:r w:rsidRPr="0096030C">
        <w:rPr>
          <w:rFonts w:ascii="Verdana" w:hAnsi="Verdana"/>
          <w:sz w:val="18"/>
          <w:szCs w:val="18"/>
        </w:rPr>
        <w:t>Policentrismo</w:t>
      </w:r>
      <w:proofErr w:type="spellEnd"/>
      <w:r w:rsidRPr="0096030C">
        <w:rPr>
          <w:rFonts w:ascii="Verdana" w:hAnsi="Verdana"/>
          <w:sz w:val="18"/>
          <w:szCs w:val="18"/>
        </w:rPr>
        <w:t xml:space="preserve"> versus soberania: </w:t>
      </w:r>
      <w:proofErr w:type="spellStart"/>
      <w:r w:rsidRPr="0096030C">
        <w:rPr>
          <w:rFonts w:ascii="Verdana" w:hAnsi="Verdana"/>
          <w:sz w:val="18"/>
          <w:szCs w:val="18"/>
        </w:rPr>
        <w:t>los</w:t>
      </w:r>
      <w:proofErr w:type="spellEnd"/>
      <w:r w:rsidRPr="0096030C">
        <w:rPr>
          <w:rFonts w:ascii="Verdana" w:hAnsi="Verdana"/>
          <w:sz w:val="18"/>
          <w:szCs w:val="18"/>
        </w:rPr>
        <w:t xml:space="preserve"> </w:t>
      </w:r>
      <w:proofErr w:type="spellStart"/>
      <w:r w:rsidRPr="0096030C">
        <w:rPr>
          <w:rFonts w:ascii="Verdana" w:hAnsi="Verdana"/>
          <w:sz w:val="18"/>
          <w:szCs w:val="18"/>
        </w:rPr>
        <w:t>nuevos</w:t>
      </w:r>
      <w:proofErr w:type="spellEnd"/>
      <w:r w:rsidRPr="0096030C">
        <w:rPr>
          <w:rFonts w:ascii="Verdana" w:hAnsi="Verdana"/>
          <w:sz w:val="18"/>
          <w:szCs w:val="18"/>
        </w:rPr>
        <w:t xml:space="preserve"> </w:t>
      </w:r>
      <w:proofErr w:type="spellStart"/>
      <w:r w:rsidRPr="0096030C">
        <w:rPr>
          <w:rFonts w:ascii="Verdana" w:hAnsi="Verdana"/>
          <w:sz w:val="18"/>
          <w:szCs w:val="18"/>
        </w:rPr>
        <w:t>órdenes</w:t>
      </w:r>
      <w:proofErr w:type="spellEnd"/>
      <w:r w:rsidRPr="0096030C">
        <w:rPr>
          <w:rFonts w:ascii="Verdana" w:hAnsi="Verdana"/>
          <w:sz w:val="18"/>
          <w:szCs w:val="18"/>
        </w:rPr>
        <w:t xml:space="preserve"> normativos” in </w:t>
      </w:r>
      <w:proofErr w:type="spellStart"/>
      <w:r w:rsidRPr="0096030C">
        <w:rPr>
          <w:rFonts w:ascii="Verdana" w:hAnsi="Verdana"/>
          <w:bCs/>
          <w:i/>
          <w:iCs/>
          <w:sz w:val="18"/>
          <w:szCs w:val="18"/>
        </w:rPr>
        <w:t>Anales</w:t>
      </w:r>
      <w:proofErr w:type="spellEnd"/>
      <w:r w:rsidRPr="0096030C">
        <w:rPr>
          <w:rFonts w:ascii="Verdana" w:hAnsi="Verdana"/>
          <w:bCs/>
          <w:i/>
          <w:iCs/>
          <w:sz w:val="18"/>
          <w:szCs w:val="18"/>
        </w:rPr>
        <w:t xml:space="preserve"> de </w:t>
      </w:r>
      <w:proofErr w:type="spellStart"/>
      <w:r w:rsidRPr="0096030C">
        <w:rPr>
          <w:rFonts w:ascii="Verdana" w:hAnsi="Verdana"/>
          <w:bCs/>
          <w:i/>
          <w:iCs/>
          <w:sz w:val="18"/>
          <w:szCs w:val="18"/>
        </w:rPr>
        <w:t>la</w:t>
      </w:r>
      <w:proofErr w:type="spellEnd"/>
      <w:r w:rsidRPr="0096030C">
        <w:rPr>
          <w:rFonts w:ascii="Verdana" w:hAnsi="Verdana"/>
          <w:bCs/>
          <w:i/>
          <w:iCs/>
          <w:sz w:val="18"/>
          <w:szCs w:val="18"/>
        </w:rPr>
        <w:t xml:space="preserve"> Cátedra Francisco </w:t>
      </w:r>
      <w:proofErr w:type="spellStart"/>
      <w:r w:rsidRPr="0096030C">
        <w:rPr>
          <w:rFonts w:ascii="Verdana" w:hAnsi="Verdana"/>
          <w:bCs/>
          <w:i/>
          <w:iCs/>
          <w:sz w:val="18"/>
          <w:szCs w:val="18"/>
        </w:rPr>
        <w:t>Suárez</w:t>
      </w:r>
      <w:proofErr w:type="spellEnd"/>
      <w:r w:rsidRPr="0096030C">
        <w:rPr>
          <w:rFonts w:ascii="Verdana" w:hAnsi="Verdana"/>
          <w:bCs/>
          <w:sz w:val="18"/>
          <w:szCs w:val="18"/>
        </w:rPr>
        <w:t xml:space="preserve">, </w:t>
      </w:r>
      <w:r w:rsidRPr="0096030C">
        <w:rPr>
          <w:rFonts w:ascii="Verdana" w:hAnsi="Verdana"/>
          <w:sz w:val="18"/>
          <w:szCs w:val="18"/>
        </w:rPr>
        <w:t>Granada, n. 44, 2010. Disponível em: &lt; http://revistaseug.ugr.es/index.php/acfs/article/view/438&gt;. Acesso em: 13 out. 2020.</w:t>
      </w:r>
    </w:p>
  </w:footnote>
  <w:footnote w:id="13">
    <w:p w14:paraId="587B02FA" w14:textId="77777777" w:rsidR="007D698A" w:rsidRPr="0096030C" w:rsidRDefault="007D698A" w:rsidP="0096030C">
      <w:pPr>
        <w:pStyle w:val="SemEspaamento"/>
        <w:jc w:val="both"/>
        <w:rPr>
          <w:rFonts w:ascii="Verdana" w:hAnsi="Verdana"/>
          <w:sz w:val="18"/>
          <w:szCs w:val="18"/>
        </w:rPr>
      </w:pPr>
      <w:r w:rsidRPr="0096030C">
        <w:rPr>
          <w:rStyle w:val="Refdenotaderodap"/>
          <w:rFonts w:ascii="Verdana" w:hAnsi="Verdana"/>
          <w:sz w:val="18"/>
          <w:szCs w:val="18"/>
        </w:rPr>
        <w:footnoteRef/>
      </w:r>
      <w:r w:rsidRPr="0096030C">
        <w:rPr>
          <w:rFonts w:ascii="Verdana" w:hAnsi="Verdana"/>
          <w:sz w:val="18"/>
          <w:szCs w:val="18"/>
        </w:rPr>
        <w:t xml:space="preserve"> ARNAUD, A. </w:t>
      </w:r>
      <w:r w:rsidRPr="0096030C">
        <w:rPr>
          <w:rFonts w:ascii="Verdana" w:hAnsi="Verdana"/>
          <w:bCs/>
          <w:i/>
          <w:iCs/>
          <w:sz w:val="18"/>
          <w:szCs w:val="18"/>
        </w:rPr>
        <w:t>Governar sem fronteiras</w:t>
      </w:r>
      <w:r w:rsidRPr="0096030C">
        <w:rPr>
          <w:rFonts w:ascii="Verdana" w:hAnsi="Verdana"/>
          <w:i/>
          <w:iCs/>
          <w:sz w:val="18"/>
          <w:szCs w:val="18"/>
        </w:rPr>
        <w:t>: entre globalização e pós globalização</w:t>
      </w:r>
      <w:r w:rsidRPr="0096030C">
        <w:rPr>
          <w:rFonts w:ascii="Verdana" w:hAnsi="Verdana"/>
          <w:sz w:val="18"/>
          <w:szCs w:val="18"/>
        </w:rPr>
        <w:t xml:space="preserve">, Ed. </w:t>
      </w:r>
      <w:proofErr w:type="spellStart"/>
      <w:r w:rsidRPr="0096030C">
        <w:rPr>
          <w:rFonts w:ascii="Verdana" w:hAnsi="Verdana"/>
          <w:sz w:val="18"/>
          <w:szCs w:val="18"/>
        </w:rPr>
        <w:t>Lumen</w:t>
      </w:r>
      <w:proofErr w:type="spellEnd"/>
      <w:r w:rsidRPr="0096030C">
        <w:rPr>
          <w:rFonts w:ascii="Verdana" w:hAnsi="Verdana"/>
          <w:sz w:val="18"/>
          <w:szCs w:val="18"/>
        </w:rPr>
        <w:t xml:space="preserve"> Juris, Rio de Janeiro, 2007, p. 32-33.</w:t>
      </w:r>
    </w:p>
  </w:footnote>
  <w:footnote w:id="14">
    <w:p w14:paraId="022E0D10" w14:textId="77777777" w:rsidR="007D698A" w:rsidRPr="0096030C" w:rsidRDefault="007D698A" w:rsidP="0096030C">
      <w:pPr>
        <w:pStyle w:val="SemEspaamento"/>
        <w:jc w:val="both"/>
        <w:rPr>
          <w:rFonts w:ascii="Verdana" w:hAnsi="Verdana"/>
          <w:sz w:val="18"/>
          <w:szCs w:val="18"/>
        </w:rPr>
      </w:pPr>
      <w:r w:rsidRPr="0096030C">
        <w:rPr>
          <w:rStyle w:val="Refdenotaderodap"/>
          <w:rFonts w:ascii="Verdana" w:hAnsi="Verdana"/>
          <w:sz w:val="18"/>
          <w:szCs w:val="18"/>
        </w:rPr>
        <w:footnoteRef/>
      </w:r>
      <w:r w:rsidRPr="0096030C">
        <w:rPr>
          <w:rFonts w:ascii="Verdana" w:hAnsi="Verdana"/>
          <w:sz w:val="18"/>
          <w:szCs w:val="18"/>
        </w:rPr>
        <w:t xml:space="preserve"> SASSEN, S. </w:t>
      </w:r>
      <w:proofErr w:type="spellStart"/>
      <w:r w:rsidRPr="0096030C">
        <w:rPr>
          <w:rFonts w:ascii="Verdana" w:hAnsi="Verdana"/>
          <w:bCs/>
          <w:i/>
          <w:iCs/>
          <w:sz w:val="18"/>
          <w:szCs w:val="18"/>
        </w:rPr>
        <w:t>Territorio</w:t>
      </w:r>
      <w:proofErr w:type="spellEnd"/>
      <w:r w:rsidRPr="0096030C">
        <w:rPr>
          <w:rFonts w:ascii="Verdana" w:hAnsi="Verdana"/>
          <w:bCs/>
          <w:i/>
          <w:iCs/>
          <w:sz w:val="18"/>
          <w:szCs w:val="18"/>
        </w:rPr>
        <w:t xml:space="preserve">, </w:t>
      </w:r>
      <w:proofErr w:type="spellStart"/>
      <w:r w:rsidRPr="0096030C">
        <w:rPr>
          <w:rFonts w:ascii="Verdana" w:hAnsi="Verdana"/>
          <w:bCs/>
          <w:i/>
          <w:iCs/>
          <w:sz w:val="18"/>
          <w:szCs w:val="18"/>
        </w:rPr>
        <w:t>autoridad</w:t>
      </w:r>
      <w:proofErr w:type="spellEnd"/>
      <w:r w:rsidRPr="0096030C">
        <w:rPr>
          <w:rFonts w:ascii="Verdana" w:hAnsi="Verdana"/>
          <w:bCs/>
          <w:i/>
          <w:iCs/>
          <w:sz w:val="18"/>
          <w:szCs w:val="18"/>
        </w:rPr>
        <w:t xml:space="preserve"> y </w:t>
      </w:r>
      <w:proofErr w:type="spellStart"/>
      <w:r w:rsidRPr="0096030C">
        <w:rPr>
          <w:rFonts w:ascii="Verdana" w:hAnsi="Verdana"/>
          <w:bCs/>
          <w:i/>
          <w:iCs/>
          <w:sz w:val="18"/>
          <w:szCs w:val="18"/>
        </w:rPr>
        <w:t>derechos</w:t>
      </w:r>
      <w:proofErr w:type="spellEnd"/>
      <w:r w:rsidRPr="0096030C">
        <w:rPr>
          <w:rFonts w:ascii="Verdana" w:hAnsi="Verdana"/>
          <w:i/>
          <w:iCs/>
          <w:sz w:val="18"/>
          <w:szCs w:val="18"/>
        </w:rPr>
        <w:t xml:space="preserve">. De </w:t>
      </w:r>
      <w:proofErr w:type="spellStart"/>
      <w:r w:rsidRPr="0096030C">
        <w:rPr>
          <w:rFonts w:ascii="Verdana" w:hAnsi="Verdana"/>
          <w:i/>
          <w:iCs/>
          <w:sz w:val="18"/>
          <w:szCs w:val="18"/>
        </w:rPr>
        <w:t>los</w:t>
      </w:r>
      <w:proofErr w:type="spellEnd"/>
      <w:r w:rsidRPr="0096030C">
        <w:rPr>
          <w:rFonts w:ascii="Verdana" w:hAnsi="Verdana"/>
          <w:i/>
          <w:iCs/>
          <w:sz w:val="18"/>
          <w:szCs w:val="18"/>
        </w:rPr>
        <w:t xml:space="preserve"> </w:t>
      </w:r>
      <w:proofErr w:type="spellStart"/>
      <w:r w:rsidRPr="0096030C">
        <w:rPr>
          <w:rFonts w:ascii="Verdana" w:hAnsi="Verdana"/>
          <w:i/>
          <w:iCs/>
          <w:sz w:val="18"/>
          <w:szCs w:val="18"/>
        </w:rPr>
        <w:t>ensamblajes</w:t>
      </w:r>
      <w:proofErr w:type="spellEnd"/>
      <w:r w:rsidRPr="0096030C">
        <w:rPr>
          <w:rFonts w:ascii="Verdana" w:hAnsi="Verdana"/>
          <w:i/>
          <w:iCs/>
          <w:sz w:val="18"/>
          <w:szCs w:val="18"/>
        </w:rPr>
        <w:t xml:space="preserve"> </w:t>
      </w:r>
      <w:proofErr w:type="spellStart"/>
      <w:r w:rsidRPr="0096030C">
        <w:rPr>
          <w:rFonts w:ascii="Verdana" w:hAnsi="Verdana"/>
          <w:i/>
          <w:iCs/>
          <w:sz w:val="18"/>
          <w:szCs w:val="18"/>
        </w:rPr>
        <w:t>medievales</w:t>
      </w:r>
      <w:proofErr w:type="spellEnd"/>
      <w:r w:rsidRPr="0096030C">
        <w:rPr>
          <w:rFonts w:ascii="Verdana" w:hAnsi="Verdana"/>
          <w:i/>
          <w:iCs/>
          <w:sz w:val="18"/>
          <w:szCs w:val="18"/>
        </w:rPr>
        <w:t xml:space="preserve"> a </w:t>
      </w:r>
      <w:proofErr w:type="spellStart"/>
      <w:r w:rsidRPr="0096030C">
        <w:rPr>
          <w:rFonts w:ascii="Verdana" w:hAnsi="Verdana"/>
          <w:i/>
          <w:iCs/>
          <w:sz w:val="18"/>
          <w:szCs w:val="18"/>
        </w:rPr>
        <w:t>los</w:t>
      </w:r>
      <w:proofErr w:type="spellEnd"/>
      <w:r w:rsidRPr="0096030C">
        <w:rPr>
          <w:rFonts w:ascii="Verdana" w:hAnsi="Verdana"/>
          <w:i/>
          <w:iCs/>
          <w:sz w:val="18"/>
          <w:szCs w:val="18"/>
        </w:rPr>
        <w:t xml:space="preserve"> </w:t>
      </w:r>
      <w:proofErr w:type="spellStart"/>
      <w:r w:rsidRPr="0096030C">
        <w:rPr>
          <w:rFonts w:ascii="Verdana" w:hAnsi="Verdana"/>
          <w:i/>
          <w:iCs/>
          <w:sz w:val="18"/>
          <w:szCs w:val="18"/>
        </w:rPr>
        <w:t>ensamblajes</w:t>
      </w:r>
      <w:proofErr w:type="spellEnd"/>
      <w:r w:rsidRPr="0096030C">
        <w:rPr>
          <w:rFonts w:ascii="Verdana" w:hAnsi="Verdana"/>
          <w:i/>
          <w:iCs/>
          <w:sz w:val="18"/>
          <w:szCs w:val="18"/>
        </w:rPr>
        <w:t xml:space="preserve"> </w:t>
      </w:r>
      <w:proofErr w:type="spellStart"/>
      <w:r w:rsidRPr="0096030C">
        <w:rPr>
          <w:rFonts w:ascii="Verdana" w:hAnsi="Verdana"/>
          <w:i/>
          <w:iCs/>
          <w:sz w:val="18"/>
          <w:szCs w:val="18"/>
        </w:rPr>
        <w:t>globales</w:t>
      </w:r>
      <w:proofErr w:type="spellEnd"/>
      <w:r w:rsidRPr="0096030C">
        <w:rPr>
          <w:rFonts w:ascii="Verdana" w:hAnsi="Verdana"/>
          <w:sz w:val="18"/>
          <w:szCs w:val="18"/>
        </w:rPr>
        <w:t>, Katz, Buenos Aires, 2015, p. 222.</w:t>
      </w:r>
    </w:p>
  </w:footnote>
  <w:footnote w:id="15">
    <w:p w14:paraId="3BB7C2EE" w14:textId="77777777" w:rsidR="007D698A" w:rsidRPr="0096030C" w:rsidRDefault="007D698A" w:rsidP="0096030C">
      <w:pPr>
        <w:pStyle w:val="SemEspaamento"/>
        <w:jc w:val="both"/>
        <w:rPr>
          <w:rFonts w:ascii="Verdana" w:hAnsi="Verdana"/>
          <w:sz w:val="18"/>
          <w:szCs w:val="18"/>
        </w:rPr>
      </w:pPr>
      <w:r w:rsidRPr="0096030C">
        <w:rPr>
          <w:rStyle w:val="Refdenotaderodap"/>
          <w:rFonts w:ascii="Verdana" w:hAnsi="Verdana"/>
          <w:sz w:val="18"/>
          <w:szCs w:val="18"/>
        </w:rPr>
        <w:footnoteRef/>
      </w:r>
      <w:r w:rsidRPr="0096030C">
        <w:rPr>
          <w:rFonts w:ascii="Verdana" w:hAnsi="Verdana"/>
          <w:sz w:val="18"/>
          <w:szCs w:val="18"/>
        </w:rPr>
        <w:t xml:space="preserve"> SASSEN, S. </w:t>
      </w:r>
      <w:proofErr w:type="spellStart"/>
      <w:r w:rsidRPr="0096030C">
        <w:rPr>
          <w:rFonts w:ascii="Verdana" w:hAnsi="Verdana"/>
          <w:bCs/>
          <w:i/>
          <w:iCs/>
          <w:sz w:val="18"/>
          <w:szCs w:val="18"/>
        </w:rPr>
        <w:t>Territorio</w:t>
      </w:r>
      <w:proofErr w:type="spellEnd"/>
      <w:r w:rsidRPr="0096030C">
        <w:rPr>
          <w:rFonts w:ascii="Verdana" w:hAnsi="Verdana"/>
          <w:bCs/>
          <w:i/>
          <w:iCs/>
          <w:sz w:val="18"/>
          <w:szCs w:val="18"/>
        </w:rPr>
        <w:t xml:space="preserve">, </w:t>
      </w:r>
      <w:proofErr w:type="spellStart"/>
      <w:r w:rsidRPr="0096030C">
        <w:rPr>
          <w:rFonts w:ascii="Verdana" w:hAnsi="Verdana"/>
          <w:bCs/>
          <w:i/>
          <w:iCs/>
          <w:sz w:val="18"/>
          <w:szCs w:val="18"/>
        </w:rPr>
        <w:t>autoridad</w:t>
      </w:r>
      <w:proofErr w:type="spellEnd"/>
      <w:r w:rsidRPr="0096030C">
        <w:rPr>
          <w:rFonts w:ascii="Verdana" w:hAnsi="Verdana"/>
          <w:bCs/>
          <w:i/>
          <w:iCs/>
          <w:sz w:val="18"/>
          <w:szCs w:val="18"/>
        </w:rPr>
        <w:t xml:space="preserve"> y </w:t>
      </w:r>
      <w:proofErr w:type="spellStart"/>
      <w:r w:rsidRPr="0096030C">
        <w:rPr>
          <w:rFonts w:ascii="Verdana" w:hAnsi="Verdana"/>
          <w:bCs/>
          <w:i/>
          <w:iCs/>
          <w:sz w:val="18"/>
          <w:szCs w:val="18"/>
        </w:rPr>
        <w:t>derechos</w:t>
      </w:r>
      <w:proofErr w:type="spellEnd"/>
      <w:r w:rsidRPr="0096030C">
        <w:rPr>
          <w:rFonts w:ascii="Verdana" w:hAnsi="Verdana"/>
          <w:sz w:val="18"/>
          <w:szCs w:val="18"/>
        </w:rPr>
        <w:t xml:space="preserve">. </w:t>
      </w:r>
      <w:r w:rsidRPr="0096030C">
        <w:rPr>
          <w:rFonts w:ascii="Verdana" w:hAnsi="Verdana"/>
          <w:i/>
          <w:iCs/>
          <w:sz w:val="18"/>
          <w:szCs w:val="18"/>
        </w:rPr>
        <w:t xml:space="preserve">De </w:t>
      </w:r>
      <w:proofErr w:type="spellStart"/>
      <w:r w:rsidRPr="0096030C">
        <w:rPr>
          <w:rFonts w:ascii="Verdana" w:hAnsi="Verdana"/>
          <w:i/>
          <w:iCs/>
          <w:sz w:val="18"/>
          <w:szCs w:val="18"/>
        </w:rPr>
        <w:t>los</w:t>
      </w:r>
      <w:proofErr w:type="spellEnd"/>
      <w:r w:rsidRPr="0096030C">
        <w:rPr>
          <w:rFonts w:ascii="Verdana" w:hAnsi="Verdana"/>
          <w:i/>
          <w:iCs/>
          <w:sz w:val="18"/>
          <w:szCs w:val="18"/>
        </w:rPr>
        <w:t xml:space="preserve"> </w:t>
      </w:r>
      <w:proofErr w:type="spellStart"/>
      <w:r w:rsidRPr="0096030C">
        <w:rPr>
          <w:rFonts w:ascii="Verdana" w:hAnsi="Verdana"/>
          <w:i/>
          <w:iCs/>
          <w:sz w:val="18"/>
          <w:szCs w:val="18"/>
        </w:rPr>
        <w:t>ensamblajes</w:t>
      </w:r>
      <w:proofErr w:type="spellEnd"/>
      <w:r w:rsidRPr="0096030C">
        <w:rPr>
          <w:rFonts w:ascii="Verdana" w:hAnsi="Verdana"/>
          <w:i/>
          <w:iCs/>
          <w:sz w:val="18"/>
          <w:szCs w:val="18"/>
        </w:rPr>
        <w:t xml:space="preserve"> </w:t>
      </w:r>
      <w:proofErr w:type="spellStart"/>
      <w:r w:rsidRPr="0096030C">
        <w:rPr>
          <w:rFonts w:ascii="Verdana" w:hAnsi="Verdana"/>
          <w:i/>
          <w:iCs/>
          <w:sz w:val="18"/>
          <w:szCs w:val="18"/>
        </w:rPr>
        <w:t>medievales</w:t>
      </w:r>
      <w:proofErr w:type="spellEnd"/>
      <w:r w:rsidRPr="0096030C">
        <w:rPr>
          <w:rFonts w:ascii="Verdana" w:hAnsi="Verdana"/>
          <w:i/>
          <w:iCs/>
          <w:sz w:val="18"/>
          <w:szCs w:val="18"/>
        </w:rPr>
        <w:t xml:space="preserve"> a </w:t>
      </w:r>
      <w:proofErr w:type="spellStart"/>
      <w:r w:rsidRPr="0096030C">
        <w:rPr>
          <w:rFonts w:ascii="Verdana" w:hAnsi="Verdana"/>
          <w:i/>
          <w:iCs/>
          <w:sz w:val="18"/>
          <w:szCs w:val="18"/>
        </w:rPr>
        <w:t>los</w:t>
      </w:r>
      <w:proofErr w:type="spellEnd"/>
      <w:r w:rsidRPr="0096030C">
        <w:rPr>
          <w:rFonts w:ascii="Verdana" w:hAnsi="Verdana"/>
          <w:i/>
          <w:iCs/>
          <w:sz w:val="18"/>
          <w:szCs w:val="18"/>
        </w:rPr>
        <w:t xml:space="preserve"> </w:t>
      </w:r>
      <w:proofErr w:type="spellStart"/>
      <w:r w:rsidRPr="0096030C">
        <w:rPr>
          <w:rFonts w:ascii="Verdana" w:hAnsi="Verdana"/>
          <w:i/>
          <w:iCs/>
          <w:sz w:val="18"/>
          <w:szCs w:val="18"/>
        </w:rPr>
        <w:t>ensamblajes</w:t>
      </w:r>
      <w:proofErr w:type="spellEnd"/>
      <w:r w:rsidRPr="0096030C">
        <w:rPr>
          <w:rFonts w:ascii="Verdana" w:hAnsi="Verdana"/>
          <w:i/>
          <w:iCs/>
          <w:sz w:val="18"/>
          <w:szCs w:val="18"/>
        </w:rPr>
        <w:t xml:space="preserve"> </w:t>
      </w:r>
      <w:proofErr w:type="spellStart"/>
      <w:r w:rsidRPr="0096030C">
        <w:rPr>
          <w:rFonts w:ascii="Verdana" w:hAnsi="Verdana"/>
          <w:i/>
          <w:iCs/>
          <w:sz w:val="18"/>
          <w:szCs w:val="18"/>
        </w:rPr>
        <w:t>globales</w:t>
      </w:r>
      <w:proofErr w:type="spellEnd"/>
      <w:r w:rsidRPr="0096030C">
        <w:rPr>
          <w:rFonts w:ascii="Verdana" w:hAnsi="Verdana"/>
          <w:sz w:val="18"/>
          <w:szCs w:val="18"/>
        </w:rPr>
        <w:t>, Katz, Buenos Aires, 2015, p. 222-223.</w:t>
      </w:r>
    </w:p>
  </w:footnote>
  <w:footnote w:id="16">
    <w:p w14:paraId="13BDED12" w14:textId="77777777" w:rsidR="007D698A" w:rsidRPr="0096030C" w:rsidRDefault="007D698A" w:rsidP="0096030C">
      <w:pPr>
        <w:pStyle w:val="SemEspaamento"/>
        <w:jc w:val="both"/>
        <w:rPr>
          <w:rFonts w:ascii="Verdana" w:hAnsi="Verdana"/>
          <w:sz w:val="18"/>
          <w:szCs w:val="18"/>
        </w:rPr>
      </w:pPr>
      <w:r w:rsidRPr="0096030C">
        <w:rPr>
          <w:rStyle w:val="Refdenotaderodap"/>
          <w:rFonts w:ascii="Verdana" w:hAnsi="Verdana"/>
          <w:sz w:val="18"/>
          <w:szCs w:val="18"/>
        </w:rPr>
        <w:footnoteRef/>
      </w:r>
      <w:r w:rsidRPr="0096030C">
        <w:rPr>
          <w:rFonts w:ascii="Verdana" w:hAnsi="Verdana"/>
          <w:sz w:val="18"/>
          <w:szCs w:val="18"/>
        </w:rPr>
        <w:t xml:space="preserve"> GERVASONI, T.A.</w:t>
      </w:r>
      <w:r w:rsidRPr="0096030C">
        <w:rPr>
          <w:rFonts w:ascii="Verdana" w:hAnsi="Verdana"/>
          <w:b/>
          <w:sz w:val="18"/>
          <w:szCs w:val="18"/>
        </w:rPr>
        <w:t xml:space="preserve"> </w:t>
      </w:r>
      <w:r w:rsidRPr="0096030C">
        <w:rPr>
          <w:rFonts w:ascii="Verdana" w:hAnsi="Verdana"/>
          <w:bCs/>
          <w:i/>
          <w:iCs/>
          <w:sz w:val="18"/>
          <w:szCs w:val="18"/>
        </w:rPr>
        <w:t>Estado e Direito em trânsito na pós-modernidade,</w:t>
      </w:r>
      <w:r w:rsidRPr="0096030C">
        <w:rPr>
          <w:rFonts w:ascii="Verdana" w:hAnsi="Verdana"/>
          <w:sz w:val="18"/>
          <w:szCs w:val="18"/>
        </w:rPr>
        <w:t xml:space="preserve"> Empório do Direito, Florianópolis, 2017, p. 161.</w:t>
      </w:r>
    </w:p>
  </w:footnote>
  <w:footnote w:id="17">
    <w:p w14:paraId="783C9664" w14:textId="77777777" w:rsidR="007D698A" w:rsidRPr="0096030C" w:rsidRDefault="007D698A" w:rsidP="0096030C">
      <w:pPr>
        <w:pStyle w:val="SemEspaamento"/>
        <w:jc w:val="both"/>
        <w:rPr>
          <w:rFonts w:ascii="Verdana" w:hAnsi="Verdana"/>
          <w:sz w:val="18"/>
          <w:szCs w:val="18"/>
        </w:rPr>
      </w:pPr>
      <w:r w:rsidRPr="0096030C">
        <w:rPr>
          <w:rStyle w:val="Refdenotaderodap"/>
          <w:rFonts w:ascii="Verdana" w:hAnsi="Verdana"/>
          <w:sz w:val="18"/>
          <w:szCs w:val="18"/>
        </w:rPr>
        <w:footnoteRef/>
      </w:r>
      <w:r w:rsidRPr="0096030C">
        <w:rPr>
          <w:rFonts w:ascii="Verdana" w:hAnsi="Verdana"/>
          <w:sz w:val="18"/>
          <w:szCs w:val="18"/>
        </w:rPr>
        <w:t xml:space="preserve"> “Uma queixa comum contra a democracia do século XXI é que ela perdeu o controle sobre o poder corporativo. As grandes empresas açambarcam riqueza e influência. Fomentam a desigualdade. Espoliam o planeta. Não pagam seus impostos. Para muitas empresas, esse tipo de queixa é inevitável – bancos e companhias petrolíferas convivem com elas há muito tempo. Mas os bancos e companhias petrolíferas deixaram de ser as empresas mais poderosas do mundo. A faixa foi transferida para os gigantes da tecnologia: </w:t>
      </w:r>
      <w:proofErr w:type="spellStart"/>
      <w:r w:rsidRPr="0096030C">
        <w:rPr>
          <w:rFonts w:ascii="Verdana" w:hAnsi="Verdana"/>
          <w:sz w:val="18"/>
          <w:szCs w:val="18"/>
        </w:rPr>
        <w:t>Facebook</w:t>
      </w:r>
      <w:proofErr w:type="spellEnd"/>
      <w:r w:rsidRPr="0096030C">
        <w:rPr>
          <w:rFonts w:ascii="Verdana" w:hAnsi="Verdana"/>
          <w:sz w:val="18"/>
          <w:szCs w:val="18"/>
        </w:rPr>
        <w:t xml:space="preserve">, Google, </w:t>
      </w:r>
      <w:proofErr w:type="spellStart"/>
      <w:r w:rsidRPr="0096030C">
        <w:rPr>
          <w:rFonts w:ascii="Verdana" w:hAnsi="Verdana"/>
          <w:sz w:val="18"/>
          <w:szCs w:val="18"/>
        </w:rPr>
        <w:t>Amazon</w:t>
      </w:r>
      <w:proofErr w:type="spellEnd"/>
      <w:r w:rsidRPr="0096030C">
        <w:rPr>
          <w:rFonts w:ascii="Verdana" w:hAnsi="Verdana"/>
          <w:sz w:val="18"/>
          <w:szCs w:val="18"/>
        </w:rPr>
        <w:t xml:space="preserve"> e Apple. São empresas jovens e têm uma cara nova. Acreditam que o que fazem é bom. Não estão acostumadas a ser objeto de ódio. O Estado não sabe bem como lidar com monstros desse tipo”. RUNCIMAN, D. </w:t>
      </w:r>
      <w:r w:rsidRPr="0096030C">
        <w:rPr>
          <w:rFonts w:ascii="Verdana" w:hAnsi="Verdana"/>
          <w:i/>
          <w:iCs/>
          <w:sz w:val="18"/>
          <w:szCs w:val="18"/>
        </w:rPr>
        <w:t>Como a democracia chega ao fim</w:t>
      </w:r>
      <w:r w:rsidRPr="0096030C">
        <w:rPr>
          <w:rFonts w:ascii="Verdana" w:hAnsi="Verdana"/>
          <w:sz w:val="18"/>
          <w:szCs w:val="18"/>
        </w:rPr>
        <w:t>. Tradução FLASKMAN, S., Ed. Todavia, São Paulo, 2018, p. 140-141.</w:t>
      </w:r>
    </w:p>
  </w:footnote>
  <w:footnote w:id="18">
    <w:p w14:paraId="476265C6" w14:textId="77777777" w:rsidR="007D698A" w:rsidRPr="0096030C" w:rsidRDefault="007D698A" w:rsidP="0096030C">
      <w:pPr>
        <w:pStyle w:val="SemEspaamento"/>
        <w:jc w:val="both"/>
        <w:rPr>
          <w:rFonts w:ascii="Verdana" w:hAnsi="Verdana"/>
          <w:sz w:val="18"/>
          <w:szCs w:val="18"/>
        </w:rPr>
      </w:pPr>
      <w:r w:rsidRPr="0096030C">
        <w:rPr>
          <w:rStyle w:val="Refdenotaderodap"/>
          <w:rFonts w:ascii="Verdana" w:hAnsi="Verdana"/>
          <w:sz w:val="18"/>
          <w:szCs w:val="18"/>
        </w:rPr>
        <w:footnoteRef/>
      </w:r>
      <w:r w:rsidRPr="0096030C">
        <w:rPr>
          <w:rFonts w:ascii="Verdana" w:hAnsi="Verdana"/>
          <w:sz w:val="18"/>
          <w:szCs w:val="18"/>
        </w:rPr>
        <w:t xml:space="preserve"> “As grandes empresas, uma vez que conseguiram que os governos definissem as regras da globalização de forma a aumentar o seu poder negocial com os trabalhadores, podem agora condicionar a máquina política e exigir menos impostos. Ameaçam o país onde se encontram: se não baixarem os nossos impostos, iremos para outro lado, onde somos taxados com impostos mais baixos”.</w:t>
      </w:r>
      <w:r w:rsidRPr="0096030C">
        <w:rPr>
          <w:rStyle w:val="Hiperlink"/>
          <w:rFonts w:ascii="Verdana" w:hAnsi="Verdana"/>
          <w:color w:val="auto"/>
          <w:sz w:val="18"/>
          <w:szCs w:val="18"/>
          <w:u w:val="none"/>
        </w:rPr>
        <w:t xml:space="preserve"> STIGLITZ, Joseph E. </w:t>
      </w:r>
      <w:r w:rsidRPr="0096030C">
        <w:rPr>
          <w:rStyle w:val="Hiperlink"/>
          <w:rFonts w:ascii="Verdana" w:hAnsi="Verdana"/>
          <w:bCs/>
          <w:i/>
          <w:iCs/>
          <w:color w:val="auto"/>
          <w:sz w:val="18"/>
          <w:szCs w:val="18"/>
          <w:u w:val="none"/>
        </w:rPr>
        <w:t>O preço da desigualdade</w:t>
      </w:r>
      <w:r w:rsidRPr="0096030C">
        <w:rPr>
          <w:rStyle w:val="Hiperlink"/>
          <w:rFonts w:ascii="Verdana" w:hAnsi="Verdana"/>
          <w:color w:val="auto"/>
          <w:sz w:val="18"/>
          <w:szCs w:val="18"/>
          <w:u w:val="none"/>
        </w:rPr>
        <w:t>. Trad. PIRES, D., Bertrand, Lisboa, 2016, p. 127.</w:t>
      </w:r>
    </w:p>
  </w:footnote>
  <w:footnote w:id="19">
    <w:p w14:paraId="24E7490E" w14:textId="77777777" w:rsidR="007D698A" w:rsidRPr="0096030C" w:rsidRDefault="007D698A" w:rsidP="0096030C">
      <w:pPr>
        <w:pStyle w:val="SemEspaamento"/>
        <w:jc w:val="both"/>
        <w:rPr>
          <w:rFonts w:ascii="Verdana" w:hAnsi="Verdana"/>
          <w:sz w:val="18"/>
          <w:szCs w:val="18"/>
        </w:rPr>
      </w:pPr>
      <w:r w:rsidRPr="0096030C">
        <w:rPr>
          <w:rStyle w:val="Refdenotaderodap"/>
          <w:rFonts w:ascii="Verdana" w:hAnsi="Verdana"/>
          <w:sz w:val="18"/>
          <w:szCs w:val="18"/>
        </w:rPr>
        <w:footnoteRef/>
      </w:r>
      <w:r w:rsidRPr="0096030C">
        <w:rPr>
          <w:rFonts w:ascii="Verdana" w:hAnsi="Verdana"/>
          <w:sz w:val="18"/>
          <w:szCs w:val="18"/>
        </w:rPr>
        <w:t xml:space="preserve"> SOUSA SANTOS, B. </w:t>
      </w:r>
      <w:r w:rsidRPr="0096030C">
        <w:rPr>
          <w:rFonts w:ascii="Verdana" w:hAnsi="Verdana"/>
          <w:bCs/>
          <w:i/>
          <w:iCs/>
          <w:sz w:val="18"/>
          <w:szCs w:val="18"/>
        </w:rPr>
        <w:t>Pela mão de Alice</w:t>
      </w:r>
      <w:r w:rsidRPr="0096030C">
        <w:rPr>
          <w:rFonts w:ascii="Verdana" w:hAnsi="Verdana"/>
          <w:b/>
          <w:i/>
          <w:iCs/>
          <w:sz w:val="18"/>
          <w:szCs w:val="18"/>
        </w:rPr>
        <w:t xml:space="preserve">. </w:t>
      </w:r>
      <w:r w:rsidRPr="0096030C">
        <w:rPr>
          <w:rFonts w:ascii="Verdana" w:hAnsi="Verdana"/>
          <w:i/>
          <w:iCs/>
          <w:sz w:val="18"/>
          <w:szCs w:val="18"/>
        </w:rPr>
        <w:t>O social e o político na pós-modernidade</w:t>
      </w:r>
      <w:r w:rsidRPr="0096030C">
        <w:rPr>
          <w:rFonts w:ascii="Verdana" w:hAnsi="Verdana"/>
          <w:sz w:val="18"/>
          <w:szCs w:val="18"/>
        </w:rPr>
        <w:t xml:space="preserve">. 13. </w:t>
      </w:r>
      <w:proofErr w:type="spellStart"/>
      <w:r w:rsidRPr="0096030C">
        <w:rPr>
          <w:rFonts w:ascii="Verdana" w:hAnsi="Verdana"/>
          <w:sz w:val="18"/>
          <w:szCs w:val="18"/>
        </w:rPr>
        <w:t>ed</w:t>
      </w:r>
      <w:proofErr w:type="spellEnd"/>
      <w:r w:rsidRPr="0096030C">
        <w:rPr>
          <w:rFonts w:ascii="Verdana" w:hAnsi="Verdana"/>
          <w:sz w:val="18"/>
          <w:szCs w:val="18"/>
        </w:rPr>
        <w:t>, Cortez, São Paulo, 2013, p. 252.</w:t>
      </w:r>
    </w:p>
  </w:footnote>
  <w:footnote w:id="20">
    <w:p w14:paraId="57EA55AE" w14:textId="77777777" w:rsidR="007D698A" w:rsidRPr="0096030C" w:rsidRDefault="007D698A" w:rsidP="0096030C">
      <w:pPr>
        <w:pStyle w:val="SemEspaamento"/>
        <w:jc w:val="both"/>
        <w:rPr>
          <w:rFonts w:ascii="Verdana" w:hAnsi="Verdana"/>
          <w:sz w:val="18"/>
          <w:szCs w:val="18"/>
        </w:rPr>
      </w:pPr>
      <w:r w:rsidRPr="0096030C">
        <w:rPr>
          <w:rStyle w:val="Refdenotaderodap"/>
          <w:rFonts w:ascii="Verdana" w:hAnsi="Verdana"/>
          <w:sz w:val="18"/>
          <w:szCs w:val="18"/>
        </w:rPr>
        <w:footnoteRef/>
      </w:r>
      <w:r w:rsidRPr="0096030C">
        <w:rPr>
          <w:rFonts w:ascii="Verdana" w:hAnsi="Verdana"/>
          <w:sz w:val="18"/>
          <w:szCs w:val="18"/>
        </w:rPr>
        <w:t xml:space="preserve"> No tocante à temática da técnica e da transformação política, em específico, Bobbio discorre a respeito da incompatibilidade entre as categorias democracia e tecnocracia. Para o autor, a democracia sustenta-se sobre a hipótese de que todos podem decidir a respeito de seus interesses. A tecnocracia, ao contrário, pretende que sejam convocados para decidir apenas aqueles poucos que detêm conhecimentos específicos. Desse modo, a crítica do autor reside no fato de que problemas tais como a luta contra a inflação, o pleno emprego, uma mais justa distribuição de renda se tornaram crescentemente mais complicados de resolver. BOBBIO, N. O futuro da democracia. Trad. NOGUEIRA, M.A, Ed. Paz e Terra, São Paulo, 2000, p. 46. </w:t>
      </w:r>
    </w:p>
  </w:footnote>
  <w:footnote w:id="21">
    <w:p w14:paraId="53E5EBDF" w14:textId="77777777" w:rsidR="007D698A" w:rsidRPr="0096030C" w:rsidRDefault="007D698A" w:rsidP="0096030C">
      <w:pPr>
        <w:pStyle w:val="SemEspaamento"/>
        <w:jc w:val="both"/>
        <w:rPr>
          <w:rFonts w:ascii="Verdana" w:hAnsi="Verdana"/>
          <w:sz w:val="18"/>
          <w:szCs w:val="18"/>
        </w:rPr>
      </w:pPr>
      <w:r w:rsidRPr="0096030C">
        <w:rPr>
          <w:rStyle w:val="Refdenotaderodap"/>
          <w:rFonts w:ascii="Verdana" w:hAnsi="Verdana"/>
          <w:sz w:val="18"/>
          <w:szCs w:val="18"/>
        </w:rPr>
        <w:footnoteRef/>
      </w:r>
      <w:r w:rsidRPr="0096030C">
        <w:rPr>
          <w:rFonts w:ascii="Verdana" w:hAnsi="Verdana"/>
          <w:sz w:val="18"/>
          <w:szCs w:val="18"/>
        </w:rPr>
        <w:t xml:space="preserve"> FERRAJOLI, L. </w:t>
      </w:r>
      <w:r w:rsidRPr="0096030C">
        <w:rPr>
          <w:rFonts w:ascii="Verdana" w:hAnsi="Verdana"/>
          <w:bCs/>
          <w:i/>
          <w:iCs/>
          <w:sz w:val="18"/>
          <w:szCs w:val="18"/>
        </w:rPr>
        <w:t>A Democracia através dos Direitos</w:t>
      </w:r>
      <w:r w:rsidRPr="0096030C">
        <w:rPr>
          <w:rFonts w:ascii="Verdana" w:hAnsi="Verdana"/>
          <w:b/>
          <w:i/>
          <w:iCs/>
          <w:sz w:val="18"/>
          <w:szCs w:val="18"/>
        </w:rPr>
        <w:t>:</w:t>
      </w:r>
      <w:r w:rsidRPr="0096030C">
        <w:rPr>
          <w:rFonts w:ascii="Verdana" w:hAnsi="Verdana"/>
          <w:i/>
          <w:iCs/>
          <w:sz w:val="18"/>
          <w:szCs w:val="18"/>
        </w:rPr>
        <w:t xml:space="preserve"> o constitucionalismo </w:t>
      </w:r>
      <w:proofErr w:type="spellStart"/>
      <w:r w:rsidRPr="0096030C">
        <w:rPr>
          <w:rFonts w:ascii="Verdana" w:hAnsi="Verdana"/>
          <w:i/>
          <w:iCs/>
          <w:sz w:val="18"/>
          <w:szCs w:val="18"/>
        </w:rPr>
        <w:t>garantista</w:t>
      </w:r>
      <w:proofErr w:type="spellEnd"/>
      <w:r w:rsidRPr="0096030C">
        <w:rPr>
          <w:rFonts w:ascii="Verdana" w:hAnsi="Verdana"/>
          <w:i/>
          <w:iCs/>
          <w:sz w:val="18"/>
          <w:szCs w:val="18"/>
        </w:rPr>
        <w:t xml:space="preserve"> como modelo teórico e como projeto político</w:t>
      </w:r>
      <w:r w:rsidRPr="0096030C">
        <w:rPr>
          <w:rFonts w:ascii="Verdana" w:hAnsi="Verdana"/>
          <w:sz w:val="18"/>
          <w:szCs w:val="18"/>
        </w:rPr>
        <w:t>, Revista dos Tribunais, São Paulo, 2015, p. 151.</w:t>
      </w:r>
    </w:p>
  </w:footnote>
  <w:footnote w:id="22">
    <w:p w14:paraId="3696A6EC" w14:textId="77777777" w:rsidR="007D698A" w:rsidRPr="0096030C" w:rsidRDefault="007D698A" w:rsidP="0096030C">
      <w:pPr>
        <w:pStyle w:val="SemEspaamento"/>
        <w:jc w:val="both"/>
        <w:rPr>
          <w:rFonts w:ascii="Verdana" w:hAnsi="Verdana"/>
          <w:sz w:val="18"/>
          <w:szCs w:val="18"/>
        </w:rPr>
      </w:pPr>
      <w:r w:rsidRPr="0096030C">
        <w:rPr>
          <w:rStyle w:val="Refdenotaderodap"/>
          <w:rFonts w:ascii="Verdana" w:hAnsi="Verdana"/>
          <w:sz w:val="18"/>
          <w:szCs w:val="18"/>
        </w:rPr>
        <w:footnoteRef/>
      </w:r>
      <w:r w:rsidRPr="0096030C">
        <w:rPr>
          <w:rFonts w:ascii="Verdana" w:hAnsi="Verdana"/>
          <w:sz w:val="18"/>
          <w:szCs w:val="18"/>
        </w:rPr>
        <w:t xml:space="preserve"> ARNAUD, A. </w:t>
      </w:r>
      <w:r w:rsidRPr="0096030C">
        <w:rPr>
          <w:rFonts w:ascii="Verdana" w:hAnsi="Verdana"/>
          <w:bCs/>
          <w:sz w:val="18"/>
          <w:szCs w:val="18"/>
        </w:rPr>
        <w:t>Governar sem fronteiras</w:t>
      </w:r>
      <w:r w:rsidRPr="0096030C">
        <w:rPr>
          <w:rFonts w:ascii="Verdana" w:hAnsi="Verdana"/>
          <w:sz w:val="18"/>
          <w:szCs w:val="18"/>
        </w:rPr>
        <w:t xml:space="preserve">: entre globalização e pós globalização, Ed. </w:t>
      </w:r>
      <w:proofErr w:type="spellStart"/>
      <w:r w:rsidRPr="0096030C">
        <w:rPr>
          <w:rFonts w:ascii="Verdana" w:hAnsi="Verdana"/>
          <w:sz w:val="18"/>
          <w:szCs w:val="18"/>
        </w:rPr>
        <w:t>Lumen</w:t>
      </w:r>
      <w:proofErr w:type="spellEnd"/>
      <w:r w:rsidRPr="0096030C">
        <w:rPr>
          <w:rFonts w:ascii="Verdana" w:hAnsi="Verdana"/>
          <w:sz w:val="18"/>
          <w:szCs w:val="18"/>
        </w:rPr>
        <w:t xml:space="preserve"> Juris, Rio de Janeiro, 2007, p. 16.</w:t>
      </w:r>
    </w:p>
  </w:footnote>
  <w:footnote w:id="23">
    <w:p w14:paraId="4C8E8E90" w14:textId="77777777" w:rsidR="007D698A" w:rsidRPr="0096030C" w:rsidRDefault="007D698A" w:rsidP="0096030C">
      <w:pPr>
        <w:pStyle w:val="SemEspaamento"/>
        <w:jc w:val="both"/>
        <w:rPr>
          <w:rFonts w:ascii="Verdana" w:hAnsi="Verdana"/>
          <w:sz w:val="18"/>
          <w:szCs w:val="18"/>
        </w:rPr>
      </w:pPr>
      <w:r w:rsidRPr="0096030C">
        <w:rPr>
          <w:rStyle w:val="Refdenotaderodap"/>
          <w:rFonts w:ascii="Verdana" w:hAnsi="Verdana"/>
          <w:sz w:val="18"/>
          <w:szCs w:val="18"/>
        </w:rPr>
        <w:footnoteRef/>
      </w:r>
      <w:r w:rsidRPr="0096030C">
        <w:rPr>
          <w:rFonts w:ascii="Verdana" w:hAnsi="Verdana"/>
          <w:sz w:val="18"/>
          <w:szCs w:val="18"/>
        </w:rPr>
        <w:t xml:space="preserve"> GERVASONI, T.A.</w:t>
      </w:r>
      <w:r w:rsidRPr="0096030C">
        <w:rPr>
          <w:rFonts w:ascii="Verdana" w:hAnsi="Verdana"/>
          <w:b/>
          <w:sz w:val="18"/>
          <w:szCs w:val="18"/>
        </w:rPr>
        <w:t xml:space="preserve"> </w:t>
      </w:r>
      <w:r w:rsidRPr="0096030C">
        <w:rPr>
          <w:rFonts w:ascii="Verdana" w:hAnsi="Verdana"/>
          <w:bCs/>
          <w:i/>
          <w:iCs/>
          <w:sz w:val="18"/>
          <w:szCs w:val="18"/>
        </w:rPr>
        <w:t>Estado e Direito em trânsito na pós-modernidade,</w:t>
      </w:r>
      <w:r w:rsidRPr="0096030C">
        <w:rPr>
          <w:rFonts w:ascii="Verdana" w:hAnsi="Verdana"/>
          <w:sz w:val="18"/>
          <w:szCs w:val="18"/>
        </w:rPr>
        <w:t xml:space="preserve"> Empório do Direito, Florianópolis, 2017, p. 167.</w:t>
      </w:r>
    </w:p>
  </w:footnote>
  <w:footnote w:id="24">
    <w:p w14:paraId="14001A8F" w14:textId="77777777" w:rsidR="007D698A" w:rsidRPr="0096030C" w:rsidRDefault="007D698A" w:rsidP="0096030C">
      <w:pPr>
        <w:pStyle w:val="SemEspaamento"/>
        <w:jc w:val="both"/>
        <w:rPr>
          <w:rFonts w:ascii="Verdana" w:hAnsi="Verdana"/>
          <w:sz w:val="18"/>
          <w:szCs w:val="18"/>
        </w:rPr>
      </w:pPr>
      <w:r w:rsidRPr="0096030C">
        <w:rPr>
          <w:rStyle w:val="Refdenotaderodap"/>
          <w:rFonts w:ascii="Verdana" w:hAnsi="Verdana"/>
          <w:sz w:val="18"/>
          <w:szCs w:val="18"/>
        </w:rPr>
        <w:footnoteRef/>
      </w:r>
      <w:r w:rsidRPr="0096030C">
        <w:rPr>
          <w:rFonts w:ascii="Verdana" w:hAnsi="Verdana"/>
          <w:sz w:val="18"/>
          <w:szCs w:val="18"/>
        </w:rPr>
        <w:t xml:space="preserve"> FARIA, J. E. </w:t>
      </w:r>
      <w:r w:rsidRPr="0096030C">
        <w:rPr>
          <w:rFonts w:ascii="Verdana" w:hAnsi="Verdana"/>
          <w:bCs/>
          <w:i/>
          <w:iCs/>
          <w:sz w:val="18"/>
          <w:szCs w:val="18"/>
        </w:rPr>
        <w:t>O direito na economia globalizada</w:t>
      </w:r>
      <w:r w:rsidRPr="0096030C">
        <w:rPr>
          <w:rFonts w:ascii="Verdana" w:hAnsi="Verdana"/>
          <w:b/>
          <w:sz w:val="18"/>
          <w:szCs w:val="18"/>
        </w:rPr>
        <w:t xml:space="preserve">, </w:t>
      </w:r>
      <w:r w:rsidRPr="0096030C">
        <w:rPr>
          <w:rFonts w:ascii="Verdana" w:hAnsi="Verdana"/>
          <w:sz w:val="18"/>
          <w:szCs w:val="18"/>
        </w:rPr>
        <w:t>Malheiros, São Paulo, 2004, p. 23-24.</w:t>
      </w:r>
    </w:p>
  </w:footnote>
  <w:footnote w:id="25">
    <w:p w14:paraId="6307972B" w14:textId="77777777" w:rsidR="007D698A" w:rsidRPr="0096030C" w:rsidRDefault="007D698A" w:rsidP="0096030C">
      <w:pPr>
        <w:pStyle w:val="SemEspaamento"/>
        <w:jc w:val="both"/>
        <w:rPr>
          <w:rFonts w:ascii="Verdana" w:hAnsi="Verdana"/>
          <w:sz w:val="18"/>
          <w:szCs w:val="18"/>
        </w:rPr>
      </w:pPr>
      <w:r w:rsidRPr="0096030C">
        <w:rPr>
          <w:rStyle w:val="Refdenotaderodap"/>
          <w:rFonts w:ascii="Verdana" w:hAnsi="Verdana"/>
          <w:sz w:val="18"/>
          <w:szCs w:val="18"/>
        </w:rPr>
        <w:footnoteRef/>
      </w:r>
      <w:r w:rsidRPr="0096030C">
        <w:rPr>
          <w:rFonts w:ascii="Verdana" w:hAnsi="Verdana"/>
          <w:sz w:val="18"/>
          <w:szCs w:val="18"/>
        </w:rPr>
        <w:t xml:space="preserve"> FRYDMANN, B. </w:t>
      </w:r>
      <w:r w:rsidRPr="0096030C">
        <w:rPr>
          <w:rFonts w:ascii="Verdana" w:hAnsi="Verdana"/>
          <w:bCs/>
          <w:i/>
          <w:iCs/>
          <w:sz w:val="18"/>
          <w:szCs w:val="18"/>
        </w:rPr>
        <w:t>O fim do Estado de Direito</w:t>
      </w:r>
      <w:r w:rsidRPr="0096030C">
        <w:rPr>
          <w:rFonts w:ascii="Verdana" w:hAnsi="Verdana"/>
          <w:i/>
          <w:iCs/>
          <w:sz w:val="18"/>
          <w:szCs w:val="18"/>
        </w:rPr>
        <w:t xml:space="preserve">. Governar por </w:t>
      </w:r>
      <w:proofErr w:type="spellStart"/>
      <w:r w:rsidRPr="0096030C">
        <w:rPr>
          <w:rFonts w:ascii="Verdana" w:hAnsi="Verdana"/>
          <w:i/>
          <w:iCs/>
          <w:sz w:val="18"/>
          <w:szCs w:val="18"/>
        </w:rPr>
        <w:t>standars</w:t>
      </w:r>
      <w:proofErr w:type="spellEnd"/>
      <w:r w:rsidRPr="0096030C">
        <w:rPr>
          <w:rFonts w:ascii="Verdana" w:hAnsi="Verdana"/>
          <w:i/>
          <w:iCs/>
          <w:sz w:val="18"/>
          <w:szCs w:val="18"/>
        </w:rPr>
        <w:t xml:space="preserve"> e indicadores.</w:t>
      </w:r>
      <w:r w:rsidRPr="0096030C">
        <w:rPr>
          <w:rFonts w:ascii="Verdana" w:hAnsi="Verdana"/>
          <w:sz w:val="18"/>
          <w:szCs w:val="18"/>
        </w:rPr>
        <w:t xml:space="preserve"> Trad. SALDANHA, J., Livraria do Advogado, Porto Alegre, 2018, p. 63.</w:t>
      </w:r>
    </w:p>
  </w:footnote>
  <w:footnote w:id="26">
    <w:p w14:paraId="353F47CE" w14:textId="77777777" w:rsidR="007D698A" w:rsidRPr="0096030C" w:rsidRDefault="007D698A" w:rsidP="0096030C">
      <w:pPr>
        <w:pStyle w:val="SemEspaamento"/>
        <w:jc w:val="both"/>
        <w:rPr>
          <w:rFonts w:ascii="Verdana" w:hAnsi="Verdana"/>
          <w:sz w:val="18"/>
          <w:szCs w:val="18"/>
        </w:rPr>
      </w:pPr>
      <w:r w:rsidRPr="0096030C">
        <w:rPr>
          <w:rStyle w:val="Refdenotaderodap"/>
          <w:rFonts w:ascii="Verdana" w:hAnsi="Verdana"/>
          <w:sz w:val="18"/>
          <w:szCs w:val="18"/>
        </w:rPr>
        <w:footnoteRef/>
      </w:r>
      <w:r w:rsidRPr="0096030C">
        <w:rPr>
          <w:rFonts w:ascii="Verdana" w:hAnsi="Verdana"/>
          <w:sz w:val="18"/>
          <w:szCs w:val="18"/>
        </w:rPr>
        <w:t xml:space="preserve"> STAFFEN, M. R. </w:t>
      </w:r>
      <w:r w:rsidRPr="0096030C">
        <w:rPr>
          <w:rFonts w:ascii="Verdana" w:hAnsi="Verdana"/>
          <w:bCs/>
          <w:i/>
          <w:iCs/>
          <w:sz w:val="18"/>
          <w:szCs w:val="18"/>
        </w:rPr>
        <w:t>Interfaces do direito global</w:t>
      </w:r>
      <w:r w:rsidRPr="0096030C">
        <w:rPr>
          <w:rFonts w:ascii="Verdana" w:hAnsi="Verdana"/>
          <w:sz w:val="18"/>
          <w:szCs w:val="18"/>
        </w:rPr>
        <w:t xml:space="preserve">. 2. </w:t>
      </w:r>
      <w:proofErr w:type="spellStart"/>
      <w:r w:rsidRPr="0096030C">
        <w:rPr>
          <w:rFonts w:ascii="Verdana" w:hAnsi="Verdana"/>
          <w:sz w:val="18"/>
          <w:szCs w:val="18"/>
        </w:rPr>
        <w:t>ed</w:t>
      </w:r>
      <w:proofErr w:type="spellEnd"/>
      <w:r w:rsidRPr="0096030C">
        <w:rPr>
          <w:rFonts w:ascii="Verdana" w:hAnsi="Verdana"/>
          <w:sz w:val="18"/>
          <w:szCs w:val="18"/>
        </w:rPr>
        <w:t xml:space="preserve">, </w:t>
      </w:r>
      <w:proofErr w:type="spellStart"/>
      <w:r w:rsidRPr="0096030C">
        <w:rPr>
          <w:rFonts w:ascii="Verdana" w:hAnsi="Verdana"/>
          <w:sz w:val="18"/>
          <w:szCs w:val="18"/>
        </w:rPr>
        <w:t>Lumen</w:t>
      </w:r>
      <w:proofErr w:type="spellEnd"/>
      <w:r w:rsidRPr="0096030C">
        <w:rPr>
          <w:rFonts w:ascii="Verdana" w:hAnsi="Verdana"/>
          <w:sz w:val="18"/>
          <w:szCs w:val="18"/>
        </w:rPr>
        <w:t xml:space="preserve"> Juris, Rio de Janeiro, 2018, p. 25.</w:t>
      </w:r>
    </w:p>
  </w:footnote>
  <w:footnote w:id="27">
    <w:p w14:paraId="57B274FD" w14:textId="77777777" w:rsidR="007D698A" w:rsidRPr="0096030C" w:rsidRDefault="007D698A" w:rsidP="0096030C">
      <w:pPr>
        <w:pStyle w:val="SemEspaamento"/>
        <w:jc w:val="both"/>
        <w:rPr>
          <w:rFonts w:ascii="Verdana" w:hAnsi="Verdana"/>
          <w:sz w:val="18"/>
          <w:szCs w:val="18"/>
        </w:rPr>
      </w:pPr>
      <w:r w:rsidRPr="0096030C">
        <w:rPr>
          <w:rStyle w:val="Refdenotaderodap"/>
          <w:rFonts w:ascii="Verdana" w:hAnsi="Verdana"/>
          <w:sz w:val="18"/>
          <w:szCs w:val="18"/>
        </w:rPr>
        <w:footnoteRef/>
      </w:r>
      <w:r w:rsidRPr="0096030C">
        <w:rPr>
          <w:rFonts w:ascii="Verdana" w:hAnsi="Verdana"/>
          <w:sz w:val="18"/>
          <w:szCs w:val="18"/>
        </w:rPr>
        <w:t xml:space="preserve"> STAFFEN, M. R. </w:t>
      </w:r>
      <w:r w:rsidRPr="0096030C">
        <w:rPr>
          <w:rFonts w:ascii="Verdana" w:hAnsi="Verdana"/>
          <w:bCs/>
          <w:i/>
          <w:iCs/>
          <w:sz w:val="18"/>
          <w:szCs w:val="18"/>
        </w:rPr>
        <w:t>Interfaces do direito global</w:t>
      </w:r>
      <w:r w:rsidRPr="0096030C">
        <w:rPr>
          <w:rFonts w:ascii="Verdana" w:hAnsi="Verdana"/>
          <w:sz w:val="18"/>
          <w:szCs w:val="18"/>
        </w:rPr>
        <w:t xml:space="preserve">. 2. </w:t>
      </w:r>
      <w:proofErr w:type="spellStart"/>
      <w:r w:rsidRPr="0096030C">
        <w:rPr>
          <w:rFonts w:ascii="Verdana" w:hAnsi="Verdana"/>
          <w:sz w:val="18"/>
          <w:szCs w:val="18"/>
        </w:rPr>
        <w:t>ed</w:t>
      </w:r>
      <w:proofErr w:type="spellEnd"/>
      <w:r w:rsidRPr="0096030C">
        <w:rPr>
          <w:rFonts w:ascii="Verdana" w:hAnsi="Verdana"/>
          <w:sz w:val="18"/>
          <w:szCs w:val="18"/>
        </w:rPr>
        <w:t xml:space="preserve">, </w:t>
      </w:r>
      <w:proofErr w:type="spellStart"/>
      <w:r w:rsidRPr="0096030C">
        <w:rPr>
          <w:rFonts w:ascii="Verdana" w:hAnsi="Verdana"/>
          <w:sz w:val="18"/>
          <w:szCs w:val="18"/>
        </w:rPr>
        <w:t>Lumen</w:t>
      </w:r>
      <w:proofErr w:type="spellEnd"/>
      <w:r w:rsidRPr="0096030C">
        <w:rPr>
          <w:rFonts w:ascii="Verdana" w:hAnsi="Verdana"/>
          <w:sz w:val="18"/>
          <w:szCs w:val="18"/>
        </w:rPr>
        <w:t xml:space="preserve"> Juris, Rio de Janeiro, 2018, p. 26. </w:t>
      </w:r>
    </w:p>
  </w:footnote>
  <w:footnote w:id="28">
    <w:p w14:paraId="743EEEDD" w14:textId="77777777" w:rsidR="007D698A" w:rsidRPr="0096030C" w:rsidRDefault="007D698A" w:rsidP="0096030C">
      <w:pPr>
        <w:pStyle w:val="SemEspaamento"/>
        <w:jc w:val="both"/>
        <w:rPr>
          <w:rFonts w:ascii="Verdana" w:hAnsi="Verdana"/>
          <w:sz w:val="18"/>
          <w:szCs w:val="18"/>
        </w:rPr>
      </w:pPr>
      <w:r w:rsidRPr="0096030C">
        <w:rPr>
          <w:rStyle w:val="Refdenotaderodap"/>
          <w:rFonts w:ascii="Verdana" w:hAnsi="Verdana"/>
          <w:sz w:val="18"/>
          <w:szCs w:val="18"/>
        </w:rPr>
        <w:footnoteRef/>
      </w:r>
      <w:r w:rsidRPr="0096030C">
        <w:rPr>
          <w:rFonts w:ascii="Verdana" w:hAnsi="Verdana"/>
          <w:sz w:val="18"/>
          <w:szCs w:val="18"/>
        </w:rPr>
        <w:t xml:space="preserve"> FERRAJOLI, L. </w:t>
      </w:r>
      <w:r w:rsidRPr="0096030C">
        <w:rPr>
          <w:rFonts w:ascii="Verdana" w:hAnsi="Verdana"/>
          <w:bCs/>
          <w:i/>
          <w:iCs/>
          <w:sz w:val="18"/>
          <w:szCs w:val="18"/>
        </w:rPr>
        <w:t>A Democracia através dos Direitos</w:t>
      </w:r>
      <w:r w:rsidRPr="0096030C">
        <w:rPr>
          <w:rFonts w:ascii="Verdana" w:hAnsi="Verdana"/>
          <w:b/>
          <w:i/>
          <w:iCs/>
          <w:sz w:val="18"/>
          <w:szCs w:val="18"/>
        </w:rPr>
        <w:t>:</w:t>
      </w:r>
      <w:r w:rsidRPr="0096030C">
        <w:rPr>
          <w:rFonts w:ascii="Verdana" w:hAnsi="Verdana"/>
          <w:i/>
          <w:iCs/>
          <w:sz w:val="18"/>
          <w:szCs w:val="18"/>
        </w:rPr>
        <w:t xml:space="preserve"> o constitucionalismo </w:t>
      </w:r>
      <w:proofErr w:type="spellStart"/>
      <w:r w:rsidRPr="0096030C">
        <w:rPr>
          <w:rFonts w:ascii="Verdana" w:hAnsi="Verdana"/>
          <w:i/>
          <w:iCs/>
          <w:sz w:val="18"/>
          <w:szCs w:val="18"/>
        </w:rPr>
        <w:t>garantista</w:t>
      </w:r>
      <w:proofErr w:type="spellEnd"/>
      <w:r w:rsidRPr="0096030C">
        <w:rPr>
          <w:rFonts w:ascii="Verdana" w:hAnsi="Verdana"/>
          <w:i/>
          <w:iCs/>
          <w:sz w:val="18"/>
          <w:szCs w:val="18"/>
        </w:rPr>
        <w:t xml:space="preserve"> como modelo teórico e como projeto político</w:t>
      </w:r>
      <w:r w:rsidRPr="0096030C">
        <w:rPr>
          <w:rFonts w:ascii="Verdana" w:hAnsi="Verdana"/>
          <w:sz w:val="18"/>
          <w:szCs w:val="18"/>
        </w:rPr>
        <w:t>, Revista dos Tribunais, São Paulo, 2015, p. 149.</w:t>
      </w:r>
    </w:p>
  </w:footnote>
  <w:footnote w:id="29">
    <w:p w14:paraId="2D5E9623" w14:textId="77777777" w:rsidR="007D698A" w:rsidRPr="0096030C" w:rsidRDefault="007D698A" w:rsidP="0096030C">
      <w:pPr>
        <w:pStyle w:val="SemEspaamento"/>
        <w:jc w:val="both"/>
        <w:rPr>
          <w:rFonts w:ascii="Verdana" w:hAnsi="Verdana"/>
          <w:sz w:val="18"/>
          <w:szCs w:val="18"/>
        </w:rPr>
      </w:pPr>
      <w:r w:rsidRPr="0096030C">
        <w:rPr>
          <w:rStyle w:val="Refdenotaderodap"/>
          <w:rFonts w:ascii="Verdana" w:hAnsi="Verdana"/>
          <w:sz w:val="18"/>
          <w:szCs w:val="18"/>
        </w:rPr>
        <w:footnoteRef/>
      </w:r>
      <w:r w:rsidRPr="0096030C">
        <w:rPr>
          <w:rFonts w:ascii="Verdana" w:hAnsi="Verdana"/>
          <w:sz w:val="18"/>
          <w:szCs w:val="18"/>
        </w:rPr>
        <w:t xml:space="preserve"> Nesse ponto, vale destacar a seguinte lição: “Na ausência de governo/governança mundial e com a fragmentação da capacidade pública entre 200 nações, qualquer regulação ou ordenamento do que acontece no planeta parece estar fora do nosso alcance, o que abre espaço para o vale-tudo global. São trilhões de dólares em mãos de grupos privados que têm como campo de ação o planeta, enquanto as capacidades de regulação mundial mal engatinham. O poder mundial realmente existente está em grande parte nas mãos de gigantes que ninguém elegeu e sobre os quais há cada vez menos controle. Nunca é demais lembrar que com as tecnologias digitais a gestão em escala mundial se tornou muito mais acessível”. DOWBOR, L. </w:t>
      </w:r>
      <w:r w:rsidRPr="0096030C">
        <w:rPr>
          <w:rFonts w:ascii="Verdana" w:hAnsi="Verdana"/>
          <w:bCs/>
          <w:i/>
          <w:iCs/>
          <w:sz w:val="18"/>
          <w:szCs w:val="18"/>
        </w:rPr>
        <w:t>A era do capital improdutivo</w:t>
      </w:r>
      <w:r w:rsidRPr="0096030C">
        <w:rPr>
          <w:rFonts w:ascii="Verdana" w:hAnsi="Verdana"/>
          <w:sz w:val="18"/>
          <w:szCs w:val="18"/>
        </w:rPr>
        <w:t xml:space="preserve">: </w:t>
      </w:r>
      <w:r w:rsidRPr="0096030C">
        <w:rPr>
          <w:rFonts w:ascii="Verdana" w:hAnsi="Verdana"/>
          <w:i/>
          <w:iCs/>
          <w:sz w:val="18"/>
          <w:szCs w:val="18"/>
        </w:rPr>
        <w:t xml:space="preserve">Por que </w:t>
      </w:r>
      <w:proofErr w:type="gramStart"/>
      <w:r w:rsidRPr="0096030C">
        <w:rPr>
          <w:rFonts w:ascii="Verdana" w:hAnsi="Verdana"/>
          <w:i/>
          <w:iCs/>
          <w:sz w:val="18"/>
          <w:szCs w:val="18"/>
        </w:rPr>
        <w:t>oito famílias tem</w:t>
      </w:r>
      <w:proofErr w:type="gramEnd"/>
      <w:r w:rsidRPr="0096030C">
        <w:rPr>
          <w:rFonts w:ascii="Verdana" w:hAnsi="Verdana"/>
          <w:i/>
          <w:iCs/>
          <w:sz w:val="18"/>
          <w:szCs w:val="18"/>
        </w:rPr>
        <w:t xml:space="preserve"> mais riqueza do que a metade da população do mundo,</w:t>
      </w:r>
      <w:r w:rsidRPr="0096030C">
        <w:rPr>
          <w:rFonts w:ascii="Verdana" w:hAnsi="Verdana"/>
          <w:sz w:val="18"/>
          <w:szCs w:val="18"/>
        </w:rPr>
        <w:t xml:space="preserve"> Autonomia Literária, São Paulo, 2017, p. 49.</w:t>
      </w:r>
    </w:p>
  </w:footnote>
  <w:footnote w:id="30">
    <w:p w14:paraId="20B28E50" w14:textId="77777777" w:rsidR="007D698A" w:rsidRPr="0096030C" w:rsidRDefault="007D698A" w:rsidP="0096030C">
      <w:pPr>
        <w:pStyle w:val="SemEspaamento"/>
        <w:jc w:val="both"/>
        <w:rPr>
          <w:rFonts w:ascii="Verdana" w:hAnsi="Verdana"/>
          <w:sz w:val="18"/>
          <w:szCs w:val="18"/>
        </w:rPr>
      </w:pPr>
      <w:r w:rsidRPr="0096030C">
        <w:rPr>
          <w:rStyle w:val="Refdenotaderodap"/>
          <w:rFonts w:ascii="Verdana" w:hAnsi="Verdana"/>
          <w:sz w:val="18"/>
          <w:szCs w:val="18"/>
        </w:rPr>
        <w:footnoteRef/>
      </w:r>
      <w:r w:rsidRPr="0096030C">
        <w:rPr>
          <w:rFonts w:ascii="Verdana" w:hAnsi="Verdana"/>
          <w:sz w:val="18"/>
          <w:szCs w:val="18"/>
        </w:rPr>
        <w:t xml:space="preserve"> “Nesse novo cenário Estado e Direito são tomados por um tipo de relação e de poder bastante diversos do espectro da modernidade, marco originário do atual modelo de Estado e das principais instituições jurídico-políticas contemporâneas, mas que a essa altura tornam-se anacrônicos. O paradigma pós-moderno desloca o ente estatal do seu eixo até então central e exclusivo de regulação e soberania, sobretudo na medida em que fomenta o surgimento e a atuação mais intensa e decisiva de outros atores internacionais”. GERVASONI, T.A. </w:t>
      </w:r>
      <w:r w:rsidRPr="0096030C">
        <w:rPr>
          <w:rFonts w:ascii="Verdana" w:hAnsi="Verdana"/>
          <w:i/>
          <w:iCs/>
          <w:sz w:val="18"/>
          <w:szCs w:val="18"/>
        </w:rPr>
        <w:t>Estado e Direito em trânsito na pós-modernidade</w:t>
      </w:r>
      <w:r w:rsidRPr="0096030C">
        <w:rPr>
          <w:rFonts w:ascii="Verdana" w:hAnsi="Verdana"/>
          <w:sz w:val="18"/>
          <w:szCs w:val="18"/>
        </w:rPr>
        <w:t>, Empório do Direito, Florianópolis, 2017, p. 207.</w:t>
      </w:r>
    </w:p>
  </w:footnote>
  <w:footnote w:id="31">
    <w:p w14:paraId="7D0A657B" w14:textId="77777777" w:rsidR="007D698A" w:rsidRPr="0096030C" w:rsidRDefault="007D698A" w:rsidP="0096030C">
      <w:pPr>
        <w:pStyle w:val="SemEspaamento"/>
        <w:jc w:val="both"/>
        <w:rPr>
          <w:rFonts w:ascii="Verdana" w:hAnsi="Verdana"/>
          <w:sz w:val="18"/>
          <w:szCs w:val="18"/>
        </w:rPr>
      </w:pPr>
      <w:r w:rsidRPr="0096030C">
        <w:rPr>
          <w:rStyle w:val="Refdenotaderodap"/>
          <w:rFonts w:ascii="Verdana" w:hAnsi="Verdana"/>
          <w:sz w:val="18"/>
          <w:szCs w:val="18"/>
        </w:rPr>
        <w:footnoteRef/>
      </w:r>
      <w:r w:rsidRPr="0096030C">
        <w:rPr>
          <w:rFonts w:ascii="Verdana" w:hAnsi="Verdana"/>
          <w:sz w:val="18"/>
          <w:szCs w:val="18"/>
        </w:rPr>
        <w:t xml:space="preserve"> GERVASONI, T.A.</w:t>
      </w:r>
      <w:r w:rsidRPr="0096030C">
        <w:rPr>
          <w:rFonts w:ascii="Verdana" w:hAnsi="Verdana"/>
          <w:b/>
          <w:sz w:val="18"/>
          <w:szCs w:val="18"/>
        </w:rPr>
        <w:t xml:space="preserve"> </w:t>
      </w:r>
      <w:r w:rsidRPr="0096030C">
        <w:rPr>
          <w:rFonts w:ascii="Verdana" w:hAnsi="Verdana"/>
          <w:bCs/>
          <w:i/>
          <w:iCs/>
          <w:sz w:val="18"/>
          <w:szCs w:val="18"/>
        </w:rPr>
        <w:t>Estado e Direito em trânsito na pós-modernidade,</w:t>
      </w:r>
      <w:r w:rsidRPr="0096030C">
        <w:rPr>
          <w:rFonts w:ascii="Verdana" w:hAnsi="Verdana"/>
          <w:sz w:val="18"/>
          <w:szCs w:val="18"/>
        </w:rPr>
        <w:t xml:space="preserve"> Empório do Direito, Florianópolis, 2017, p. 162.</w:t>
      </w:r>
    </w:p>
  </w:footnote>
  <w:footnote w:id="32">
    <w:p w14:paraId="12E41865" w14:textId="77777777" w:rsidR="007D698A" w:rsidRPr="0096030C" w:rsidRDefault="007D698A" w:rsidP="0096030C">
      <w:pPr>
        <w:spacing w:after="0" w:line="240" w:lineRule="auto"/>
        <w:jc w:val="both"/>
        <w:rPr>
          <w:rFonts w:ascii="Verdana" w:hAnsi="Verdana"/>
          <w:sz w:val="18"/>
          <w:szCs w:val="18"/>
        </w:rPr>
      </w:pPr>
      <w:r w:rsidRPr="0096030C">
        <w:rPr>
          <w:rStyle w:val="Refdenotaderodap"/>
          <w:rFonts w:ascii="Verdana" w:hAnsi="Verdana"/>
          <w:sz w:val="18"/>
          <w:szCs w:val="18"/>
        </w:rPr>
        <w:footnoteRef/>
      </w:r>
      <w:r w:rsidRPr="0096030C">
        <w:rPr>
          <w:rFonts w:ascii="Verdana" w:hAnsi="Verdana"/>
          <w:sz w:val="18"/>
          <w:szCs w:val="18"/>
        </w:rPr>
        <w:t xml:space="preserve"> TOURAINE, A. </w:t>
      </w:r>
      <w:r w:rsidRPr="0096030C">
        <w:rPr>
          <w:rFonts w:ascii="Verdana" w:hAnsi="Verdana"/>
          <w:bCs/>
          <w:i/>
          <w:iCs/>
          <w:sz w:val="18"/>
          <w:szCs w:val="18"/>
        </w:rPr>
        <w:t>Após a crise. A decomposição da vida social e o surgimento de novos atores não sociais</w:t>
      </w:r>
      <w:r w:rsidRPr="0096030C">
        <w:rPr>
          <w:rFonts w:ascii="Verdana" w:hAnsi="Verdana"/>
          <w:sz w:val="18"/>
          <w:szCs w:val="18"/>
        </w:rPr>
        <w:t>, Vozes, São Paulo, 2011, p. 99.</w:t>
      </w:r>
    </w:p>
  </w:footnote>
  <w:footnote w:id="33">
    <w:p w14:paraId="5388A625" w14:textId="77777777" w:rsidR="007D698A" w:rsidRPr="0096030C" w:rsidRDefault="007D698A" w:rsidP="0096030C">
      <w:pPr>
        <w:pStyle w:val="SemEspaamento"/>
        <w:jc w:val="both"/>
        <w:rPr>
          <w:rFonts w:ascii="Verdana" w:hAnsi="Verdana"/>
          <w:sz w:val="18"/>
          <w:szCs w:val="18"/>
        </w:rPr>
      </w:pPr>
      <w:r w:rsidRPr="0096030C">
        <w:rPr>
          <w:rStyle w:val="Refdenotaderodap"/>
          <w:rFonts w:ascii="Verdana" w:hAnsi="Verdana"/>
          <w:sz w:val="18"/>
          <w:szCs w:val="18"/>
        </w:rPr>
        <w:footnoteRef/>
      </w:r>
      <w:r w:rsidRPr="0096030C">
        <w:rPr>
          <w:rFonts w:ascii="Verdana" w:hAnsi="Verdana"/>
          <w:sz w:val="18"/>
          <w:szCs w:val="18"/>
        </w:rPr>
        <w:t xml:space="preserve"> DOWBOR, L. </w:t>
      </w:r>
      <w:r w:rsidRPr="0096030C">
        <w:rPr>
          <w:rFonts w:ascii="Verdana" w:hAnsi="Verdana"/>
          <w:bCs/>
          <w:sz w:val="18"/>
          <w:szCs w:val="18"/>
        </w:rPr>
        <w:t>A era do capital improdutivo</w:t>
      </w:r>
      <w:r w:rsidRPr="0096030C">
        <w:rPr>
          <w:rFonts w:ascii="Verdana" w:hAnsi="Verdana"/>
          <w:sz w:val="18"/>
          <w:szCs w:val="18"/>
        </w:rPr>
        <w:t xml:space="preserve">: Por que </w:t>
      </w:r>
      <w:proofErr w:type="gramStart"/>
      <w:r w:rsidRPr="0096030C">
        <w:rPr>
          <w:rFonts w:ascii="Verdana" w:hAnsi="Verdana"/>
          <w:sz w:val="18"/>
          <w:szCs w:val="18"/>
        </w:rPr>
        <w:t>oito famílias tem</w:t>
      </w:r>
      <w:proofErr w:type="gramEnd"/>
      <w:r w:rsidRPr="0096030C">
        <w:rPr>
          <w:rFonts w:ascii="Verdana" w:hAnsi="Verdana"/>
          <w:sz w:val="18"/>
          <w:szCs w:val="18"/>
        </w:rPr>
        <w:t xml:space="preserve"> mais riqueza do que a metade da população do mundo, Autonomia Literária, São Paulo, 2017, p. 115.</w:t>
      </w:r>
    </w:p>
  </w:footnote>
  <w:footnote w:id="34">
    <w:p w14:paraId="3C5AAFE9" w14:textId="77777777" w:rsidR="007D698A" w:rsidRPr="0096030C" w:rsidRDefault="007D698A" w:rsidP="0096030C">
      <w:pPr>
        <w:pStyle w:val="SemEspaamento"/>
        <w:jc w:val="both"/>
        <w:rPr>
          <w:rFonts w:ascii="Verdana" w:hAnsi="Verdana"/>
          <w:sz w:val="18"/>
          <w:szCs w:val="18"/>
        </w:rPr>
      </w:pPr>
      <w:r w:rsidRPr="0096030C">
        <w:rPr>
          <w:rStyle w:val="Refdenotaderodap"/>
          <w:rFonts w:ascii="Verdana" w:hAnsi="Verdana"/>
          <w:sz w:val="18"/>
          <w:szCs w:val="18"/>
        </w:rPr>
        <w:footnoteRef/>
      </w:r>
      <w:r w:rsidRPr="0096030C">
        <w:rPr>
          <w:rFonts w:ascii="Verdana" w:hAnsi="Verdana"/>
          <w:sz w:val="18"/>
          <w:szCs w:val="18"/>
        </w:rPr>
        <w:t xml:space="preserve"> </w:t>
      </w:r>
      <w:proofErr w:type="spellStart"/>
      <w:r w:rsidRPr="0096030C">
        <w:rPr>
          <w:rFonts w:ascii="Verdana" w:hAnsi="Verdana"/>
          <w:sz w:val="18"/>
          <w:szCs w:val="18"/>
        </w:rPr>
        <w:t>Ferrajoli</w:t>
      </w:r>
      <w:proofErr w:type="spellEnd"/>
      <w:r w:rsidRPr="0096030C">
        <w:rPr>
          <w:rFonts w:ascii="Verdana" w:hAnsi="Verdana"/>
          <w:sz w:val="18"/>
          <w:szCs w:val="18"/>
        </w:rPr>
        <w:t xml:space="preserve">, ao discorrer acerca da subalternidade da política à economia, fala de uma regressão pré-moderna: “pela inversão das relações entre poderes privados e proprietários e poderes políticos de governo, não mais sendo os primeiros subordinados e regulados pelos segundos, mas justamente o contrário; pela crescente confusão e concentração nas mãos das duas classes de poderes; pelos conflitos de interesses e as múltiplas formas de corrupção e condicionamento lobista da esfera pública. FERRAJOLI, L. </w:t>
      </w:r>
      <w:r w:rsidRPr="0096030C">
        <w:rPr>
          <w:rFonts w:ascii="Verdana" w:hAnsi="Verdana"/>
          <w:bCs/>
          <w:i/>
          <w:iCs/>
          <w:sz w:val="18"/>
          <w:szCs w:val="18"/>
        </w:rPr>
        <w:t>A Democracia através dos Direitos</w:t>
      </w:r>
      <w:r w:rsidRPr="0096030C">
        <w:rPr>
          <w:rFonts w:ascii="Verdana" w:hAnsi="Verdana"/>
          <w:b/>
          <w:i/>
          <w:iCs/>
          <w:sz w:val="18"/>
          <w:szCs w:val="18"/>
        </w:rPr>
        <w:t>:</w:t>
      </w:r>
      <w:r w:rsidRPr="0096030C">
        <w:rPr>
          <w:rFonts w:ascii="Verdana" w:hAnsi="Verdana"/>
          <w:i/>
          <w:iCs/>
          <w:sz w:val="18"/>
          <w:szCs w:val="18"/>
        </w:rPr>
        <w:t xml:space="preserve"> o constitucionalismo </w:t>
      </w:r>
      <w:proofErr w:type="spellStart"/>
      <w:r w:rsidRPr="0096030C">
        <w:rPr>
          <w:rFonts w:ascii="Verdana" w:hAnsi="Verdana"/>
          <w:i/>
          <w:iCs/>
          <w:sz w:val="18"/>
          <w:szCs w:val="18"/>
        </w:rPr>
        <w:t>garantista</w:t>
      </w:r>
      <w:proofErr w:type="spellEnd"/>
      <w:r w:rsidRPr="0096030C">
        <w:rPr>
          <w:rFonts w:ascii="Verdana" w:hAnsi="Verdana"/>
          <w:i/>
          <w:iCs/>
          <w:sz w:val="18"/>
          <w:szCs w:val="18"/>
        </w:rPr>
        <w:t xml:space="preserve"> como modelo teórico e como projeto político</w:t>
      </w:r>
      <w:r w:rsidRPr="0096030C">
        <w:rPr>
          <w:rFonts w:ascii="Verdana" w:hAnsi="Verdana"/>
          <w:sz w:val="18"/>
          <w:szCs w:val="18"/>
        </w:rPr>
        <w:t>, Revista dos Tribunais, São Paulo, 201, p. 157.</w:t>
      </w:r>
    </w:p>
  </w:footnote>
  <w:footnote w:id="35">
    <w:p w14:paraId="7E1B48A5" w14:textId="77777777" w:rsidR="007D698A" w:rsidRPr="0096030C" w:rsidRDefault="007D698A" w:rsidP="0096030C">
      <w:pPr>
        <w:spacing w:after="0" w:line="240" w:lineRule="auto"/>
        <w:jc w:val="both"/>
        <w:rPr>
          <w:rFonts w:ascii="Verdana" w:hAnsi="Verdana"/>
          <w:sz w:val="18"/>
          <w:szCs w:val="18"/>
        </w:rPr>
      </w:pPr>
      <w:r w:rsidRPr="0096030C">
        <w:rPr>
          <w:rStyle w:val="Refdenotaderodap"/>
          <w:rFonts w:ascii="Verdana" w:hAnsi="Verdana"/>
          <w:sz w:val="18"/>
          <w:szCs w:val="18"/>
        </w:rPr>
        <w:footnoteRef/>
      </w:r>
      <w:r w:rsidRPr="0096030C">
        <w:rPr>
          <w:rFonts w:ascii="Verdana" w:hAnsi="Verdana"/>
          <w:sz w:val="18"/>
          <w:szCs w:val="18"/>
          <w:lang w:val="en-US"/>
        </w:rPr>
        <w:t xml:space="preserve"> THE GUARDIAN. </w:t>
      </w:r>
      <w:r w:rsidRPr="0096030C">
        <w:rPr>
          <w:rFonts w:ascii="Verdana" w:hAnsi="Verdana"/>
          <w:bCs/>
          <w:i/>
          <w:iCs/>
          <w:sz w:val="18"/>
          <w:szCs w:val="18"/>
          <w:lang w:val="en-US"/>
        </w:rPr>
        <w:t>How Google Enlisted Members of the US Congress</w:t>
      </w:r>
      <w:r w:rsidRPr="0096030C">
        <w:rPr>
          <w:rFonts w:ascii="Verdana" w:hAnsi="Verdana"/>
          <w:i/>
          <w:iCs/>
          <w:sz w:val="18"/>
          <w:szCs w:val="18"/>
          <w:lang w:val="en-US"/>
        </w:rPr>
        <w:t>,</w:t>
      </w:r>
      <w:r w:rsidRPr="0096030C">
        <w:rPr>
          <w:rFonts w:ascii="Verdana" w:hAnsi="Verdana"/>
          <w:iCs/>
          <w:sz w:val="18"/>
          <w:szCs w:val="18"/>
          <w:lang w:val="en-US"/>
        </w:rPr>
        <w:t xml:space="preserve">2015. </w:t>
      </w:r>
      <w:r w:rsidRPr="0096030C">
        <w:rPr>
          <w:rFonts w:ascii="Verdana" w:hAnsi="Verdana"/>
          <w:iCs/>
          <w:sz w:val="18"/>
          <w:szCs w:val="18"/>
        </w:rPr>
        <w:t>Disponível em: &lt;</w:t>
      </w:r>
      <w:r w:rsidRPr="0096030C">
        <w:rPr>
          <w:rFonts w:ascii="Verdana" w:hAnsi="Verdana"/>
          <w:sz w:val="18"/>
          <w:szCs w:val="18"/>
        </w:rPr>
        <w:t xml:space="preserve">https://www.theguardian.com/world/2015/dec/17/ </w:t>
      </w:r>
      <w:proofErr w:type="spellStart"/>
      <w:r w:rsidRPr="0096030C">
        <w:rPr>
          <w:rFonts w:ascii="Verdana" w:hAnsi="Verdana"/>
          <w:sz w:val="18"/>
          <w:szCs w:val="18"/>
        </w:rPr>
        <w:t>google</w:t>
      </w:r>
      <w:proofErr w:type="spellEnd"/>
      <w:r w:rsidRPr="0096030C">
        <w:rPr>
          <w:rFonts w:ascii="Verdana" w:hAnsi="Verdana"/>
          <w:sz w:val="18"/>
          <w:szCs w:val="18"/>
        </w:rPr>
        <w:t>-</w:t>
      </w:r>
      <w:proofErr w:type="spellStart"/>
      <w:r w:rsidRPr="0096030C">
        <w:rPr>
          <w:rFonts w:ascii="Verdana" w:hAnsi="Verdana"/>
          <w:sz w:val="18"/>
          <w:szCs w:val="18"/>
        </w:rPr>
        <w:t>lobbyists</w:t>
      </w:r>
      <w:proofErr w:type="spellEnd"/>
      <w:r w:rsidRPr="0096030C">
        <w:rPr>
          <w:rFonts w:ascii="Verdana" w:hAnsi="Verdana"/>
          <w:sz w:val="18"/>
          <w:szCs w:val="18"/>
        </w:rPr>
        <w:t>-</w:t>
      </w:r>
      <w:proofErr w:type="spellStart"/>
      <w:r w:rsidRPr="0096030C">
        <w:rPr>
          <w:rFonts w:ascii="Verdana" w:hAnsi="Verdana"/>
          <w:sz w:val="18"/>
          <w:szCs w:val="18"/>
        </w:rPr>
        <w:t>congress</w:t>
      </w:r>
      <w:proofErr w:type="spellEnd"/>
      <w:r w:rsidRPr="0096030C">
        <w:rPr>
          <w:rFonts w:ascii="Verdana" w:hAnsi="Verdana"/>
          <w:sz w:val="18"/>
          <w:szCs w:val="18"/>
        </w:rPr>
        <w:t>-</w:t>
      </w:r>
      <w:proofErr w:type="spellStart"/>
      <w:r w:rsidRPr="0096030C">
        <w:rPr>
          <w:rFonts w:ascii="Verdana" w:hAnsi="Verdana"/>
          <w:sz w:val="18"/>
          <w:szCs w:val="18"/>
        </w:rPr>
        <w:t>antitrust</w:t>
      </w:r>
      <w:proofErr w:type="spellEnd"/>
      <w:r w:rsidRPr="0096030C">
        <w:rPr>
          <w:rFonts w:ascii="Verdana" w:hAnsi="Verdana"/>
          <w:sz w:val="18"/>
          <w:szCs w:val="18"/>
        </w:rPr>
        <w:t>-</w:t>
      </w:r>
      <w:proofErr w:type="spellStart"/>
      <w:r w:rsidRPr="0096030C">
        <w:rPr>
          <w:rFonts w:ascii="Verdana" w:hAnsi="Verdana"/>
          <w:sz w:val="18"/>
          <w:szCs w:val="18"/>
        </w:rPr>
        <w:t>brussels</w:t>
      </w:r>
      <w:proofErr w:type="spellEnd"/>
      <w:r w:rsidRPr="0096030C">
        <w:rPr>
          <w:rFonts w:ascii="Verdana" w:hAnsi="Verdana"/>
          <w:sz w:val="18"/>
          <w:szCs w:val="18"/>
        </w:rPr>
        <w:t>-eu</w:t>
      </w:r>
      <w:r w:rsidRPr="0096030C">
        <w:rPr>
          <w:rStyle w:val="Hiperlink"/>
          <w:rFonts w:ascii="Verdana" w:hAnsi="Verdana"/>
          <w:color w:val="auto"/>
          <w:sz w:val="18"/>
          <w:szCs w:val="18"/>
          <w:u w:val="none"/>
        </w:rPr>
        <w:t>&gt;. Acesso em: 02 dez. 2020.</w:t>
      </w:r>
    </w:p>
  </w:footnote>
  <w:footnote w:id="36">
    <w:p w14:paraId="77BEDB52" w14:textId="77777777" w:rsidR="007D698A" w:rsidRPr="0096030C" w:rsidRDefault="007D698A" w:rsidP="0096030C">
      <w:pPr>
        <w:spacing w:after="0" w:line="240" w:lineRule="auto"/>
        <w:jc w:val="both"/>
        <w:rPr>
          <w:rFonts w:ascii="Verdana" w:hAnsi="Verdana"/>
          <w:sz w:val="18"/>
          <w:szCs w:val="18"/>
        </w:rPr>
      </w:pPr>
      <w:r w:rsidRPr="0096030C">
        <w:rPr>
          <w:rStyle w:val="Refdenotaderodap"/>
          <w:rFonts w:ascii="Verdana" w:hAnsi="Verdana"/>
          <w:sz w:val="18"/>
          <w:szCs w:val="18"/>
        </w:rPr>
        <w:footnoteRef/>
      </w:r>
      <w:r w:rsidRPr="0096030C">
        <w:rPr>
          <w:rFonts w:ascii="Verdana" w:hAnsi="Verdana"/>
          <w:sz w:val="18"/>
          <w:szCs w:val="18"/>
        </w:rPr>
        <w:t xml:space="preserve"> “</w:t>
      </w:r>
      <w:proofErr w:type="spellStart"/>
      <w:r w:rsidRPr="0096030C">
        <w:rPr>
          <w:rFonts w:ascii="Verdana" w:hAnsi="Verdana"/>
          <w:sz w:val="18"/>
          <w:szCs w:val="18"/>
        </w:rPr>
        <w:t>Amazon</w:t>
      </w:r>
      <w:proofErr w:type="spellEnd"/>
      <w:r w:rsidRPr="0096030C">
        <w:rPr>
          <w:rFonts w:ascii="Verdana" w:hAnsi="Verdana"/>
          <w:sz w:val="18"/>
          <w:szCs w:val="18"/>
        </w:rPr>
        <w:t xml:space="preserve"> e </w:t>
      </w:r>
      <w:proofErr w:type="spellStart"/>
      <w:r w:rsidRPr="0096030C">
        <w:rPr>
          <w:rFonts w:ascii="Verdana" w:hAnsi="Verdana"/>
          <w:sz w:val="18"/>
          <w:szCs w:val="18"/>
        </w:rPr>
        <w:t>Facebook</w:t>
      </w:r>
      <w:proofErr w:type="spellEnd"/>
      <w:r w:rsidRPr="0096030C">
        <w:rPr>
          <w:rFonts w:ascii="Verdana" w:hAnsi="Verdana"/>
          <w:sz w:val="18"/>
          <w:szCs w:val="18"/>
        </w:rPr>
        <w:t xml:space="preserve"> também aparecem nesse ranking, na 16ª. e 24ª. colocações, respectivamente. No exercício anterior, a liderança coube à Associação Nacional dos Corretores Imobiliários. O habitual é que os maiores gastos em </w:t>
      </w:r>
      <w:r w:rsidRPr="0096030C">
        <w:rPr>
          <w:rFonts w:ascii="Verdana" w:hAnsi="Verdana"/>
          <w:i/>
          <w:sz w:val="18"/>
          <w:szCs w:val="18"/>
        </w:rPr>
        <w:t>lobby</w:t>
      </w:r>
      <w:r w:rsidRPr="0096030C">
        <w:rPr>
          <w:rFonts w:ascii="Verdana" w:hAnsi="Verdana"/>
          <w:sz w:val="18"/>
          <w:szCs w:val="18"/>
        </w:rPr>
        <w:t xml:space="preserve"> partam de grupos de interesse, sindicatos ou entidades setoriais, e não de empresas individualmente” EL PAIS. </w:t>
      </w:r>
      <w:r w:rsidRPr="0096030C">
        <w:rPr>
          <w:rFonts w:ascii="Verdana" w:hAnsi="Verdana"/>
          <w:bCs/>
          <w:i/>
          <w:iCs/>
          <w:sz w:val="18"/>
          <w:szCs w:val="18"/>
        </w:rPr>
        <w:t>Google se torna a empresa que mais gasta com lobby nos EUA,</w:t>
      </w:r>
      <w:r w:rsidRPr="0096030C">
        <w:rPr>
          <w:rFonts w:ascii="Verdana" w:hAnsi="Verdana"/>
          <w:sz w:val="18"/>
          <w:szCs w:val="18"/>
        </w:rPr>
        <w:t xml:space="preserve"> 2018. Disponível em: &lt;https://brasil.elpais.com/brasil/2018/01/25/tecnologia/1516858 531_415491.html</w:t>
      </w:r>
      <w:r w:rsidRPr="0096030C">
        <w:rPr>
          <w:rStyle w:val="Hiperlink"/>
          <w:rFonts w:ascii="Verdana" w:hAnsi="Verdana"/>
          <w:color w:val="auto"/>
          <w:sz w:val="18"/>
          <w:szCs w:val="18"/>
          <w:u w:val="none"/>
        </w:rPr>
        <w:t>&gt;. Acesso em: 03 dez. 2020.</w:t>
      </w:r>
    </w:p>
  </w:footnote>
  <w:footnote w:id="37">
    <w:p w14:paraId="6FF0E2E1" w14:textId="77777777" w:rsidR="007D698A" w:rsidRPr="0096030C" w:rsidRDefault="007D698A" w:rsidP="0096030C">
      <w:pPr>
        <w:pStyle w:val="Textodenotaderodap"/>
        <w:spacing w:after="0" w:line="240" w:lineRule="auto"/>
        <w:jc w:val="both"/>
        <w:rPr>
          <w:rFonts w:ascii="Verdana" w:hAnsi="Verdana"/>
          <w:sz w:val="18"/>
          <w:szCs w:val="18"/>
        </w:rPr>
      </w:pPr>
      <w:r w:rsidRPr="0096030C">
        <w:rPr>
          <w:rStyle w:val="Refdenotaderodap"/>
          <w:rFonts w:ascii="Verdana" w:hAnsi="Verdana"/>
          <w:sz w:val="18"/>
          <w:szCs w:val="18"/>
        </w:rPr>
        <w:footnoteRef/>
      </w:r>
      <w:r w:rsidRPr="0096030C">
        <w:rPr>
          <w:rFonts w:ascii="Verdana" w:hAnsi="Verdana"/>
          <w:sz w:val="18"/>
          <w:szCs w:val="18"/>
        </w:rPr>
        <w:t xml:space="preserve"> Em entrevista, Manoel Santos, um dos maiores especialistas em lobby no Brasil, explica: “O lobby é uma ação de defesa de interesses junto a um tomador de decisão, no poder público, mas também fora dele, entre empresas privadas ou no campo pessoal. É uma atividade absolutamente comum e corriqueira, todos fazem; a confusão está relacionada ao fato de o termo ter assumido uma carga pejorativa ao longo do tempo” EXAME. </w:t>
      </w:r>
      <w:r w:rsidRPr="0096030C">
        <w:rPr>
          <w:rFonts w:ascii="Verdana" w:hAnsi="Verdana"/>
          <w:i/>
          <w:iCs/>
          <w:sz w:val="18"/>
          <w:szCs w:val="18"/>
        </w:rPr>
        <w:t>Como regulamentar o lobby?</w:t>
      </w:r>
      <w:r w:rsidRPr="0096030C">
        <w:rPr>
          <w:rFonts w:ascii="Verdana" w:hAnsi="Verdana"/>
          <w:sz w:val="18"/>
          <w:szCs w:val="18"/>
        </w:rPr>
        <w:t xml:space="preserve"> O que diz um dos maiores especialistas no tema, 2019. Disponível em: &lt;https://exame.abril.com.br/brasil/como-regular-o-lobby-o-que-diz-um-dos-maiores-especialistas-no-tema/&gt;. Acesso em: 07 dez. 2020.</w:t>
      </w:r>
    </w:p>
  </w:footnote>
  <w:footnote w:id="38">
    <w:p w14:paraId="073CC8F4" w14:textId="77777777" w:rsidR="007D698A" w:rsidRPr="0096030C" w:rsidRDefault="007D698A" w:rsidP="0096030C">
      <w:pPr>
        <w:pStyle w:val="SemEspaamento"/>
        <w:jc w:val="both"/>
        <w:rPr>
          <w:rFonts w:ascii="Verdana" w:hAnsi="Verdana"/>
          <w:sz w:val="18"/>
          <w:szCs w:val="18"/>
        </w:rPr>
      </w:pPr>
      <w:r w:rsidRPr="0096030C">
        <w:rPr>
          <w:rStyle w:val="Refdenotaderodap"/>
          <w:rFonts w:ascii="Verdana" w:hAnsi="Verdana"/>
          <w:sz w:val="18"/>
          <w:szCs w:val="18"/>
        </w:rPr>
        <w:footnoteRef/>
      </w:r>
      <w:r w:rsidRPr="0096030C">
        <w:rPr>
          <w:rFonts w:ascii="Verdana" w:hAnsi="Verdana"/>
          <w:sz w:val="18"/>
          <w:szCs w:val="18"/>
        </w:rPr>
        <w:t xml:space="preserve"> SANTOS, M. L</w:t>
      </w:r>
      <w:r w:rsidRPr="0096030C">
        <w:rPr>
          <w:rFonts w:ascii="Verdana" w:hAnsi="Verdana"/>
          <w:i/>
          <w:iCs/>
          <w:sz w:val="18"/>
          <w:szCs w:val="18"/>
        </w:rPr>
        <w:t>. O parlamento sob influência: o lobby da indústria na Câmara dos Deputados</w:t>
      </w:r>
      <w:r w:rsidRPr="0096030C">
        <w:rPr>
          <w:rFonts w:ascii="Verdana" w:hAnsi="Verdana"/>
          <w:sz w:val="18"/>
          <w:szCs w:val="18"/>
        </w:rPr>
        <w:t xml:space="preserve">. </w:t>
      </w:r>
      <w:r w:rsidRPr="0096030C">
        <w:rPr>
          <w:rFonts w:ascii="Verdana" w:hAnsi="Verdana"/>
          <w:bCs/>
          <w:sz w:val="18"/>
          <w:szCs w:val="18"/>
        </w:rPr>
        <w:t>Tese de doutorado</w:t>
      </w:r>
      <w:r w:rsidRPr="0096030C">
        <w:rPr>
          <w:rFonts w:ascii="Verdana" w:hAnsi="Verdana"/>
          <w:sz w:val="18"/>
          <w:szCs w:val="18"/>
        </w:rPr>
        <w:t>. Recife, Universidade Federal de Pernambuco, 2011.</w:t>
      </w:r>
    </w:p>
  </w:footnote>
  <w:footnote w:id="39">
    <w:p w14:paraId="41F5EBD1" w14:textId="77777777" w:rsidR="007D698A" w:rsidRPr="0096030C" w:rsidRDefault="007D698A" w:rsidP="0096030C">
      <w:pPr>
        <w:pStyle w:val="SemEspaamento"/>
        <w:jc w:val="both"/>
        <w:rPr>
          <w:rFonts w:ascii="Verdana" w:hAnsi="Verdana"/>
          <w:sz w:val="18"/>
          <w:szCs w:val="18"/>
        </w:rPr>
      </w:pPr>
      <w:r w:rsidRPr="0096030C">
        <w:rPr>
          <w:rStyle w:val="Refdenotaderodap"/>
          <w:rFonts w:ascii="Verdana" w:hAnsi="Verdana"/>
          <w:sz w:val="18"/>
          <w:szCs w:val="18"/>
        </w:rPr>
        <w:footnoteRef/>
      </w:r>
      <w:r w:rsidRPr="0096030C">
        <w:rPr>
          <w:rFonts w:ascii="Verdana" w:hAnsi="Verdana"/>
          <w:sz w:val="18"/>
          <w:szCs w:val="18"/>
        </w:rPr>
        <w:t xml:space="preserve"> STAFFEN, M. R. </w:t>
      </w:r>
      <w:r w:rsidRPr="0096030C">
        <w:rPr>
          <w:rFonts w:ascii="Verdana" w:hAnsi="Verdana"/>
          <w:bCs/>
          <w:i/>
          <w:iCs/>
          <w:sz w:val="18"/>
          <w:szCs w:val="18"/>
        </w:rPr>
        <w:t>Interfaces do direito global</w:t>
      </w:r>
      <w:r w:rsidRPr="0096030C">
        <w:rPr>
          <w:rFonts w:ascii="Verdana" w:hAnsi="Verdana"/>
          <w:sz w:val="18"/>
          <w:szCs w:val="18"/>
        </w:rPr>
        <w:t xml:space="preserve">. 2. </w:t>
      </w:r>
      <w:proofErr w:type="spellStart"/>
      <w:r w:rsidRPr="0096030C">
        <w:rPr>
          <w:rFonts w:ascii="Verdana" w:hAnsi="Verdana"/>
          <w:sz w:val="18"/>
          <w:szCs w:val="18"/>
        </w:rPr>
        <w:t>ed</w:t>
      </w:r>
      <w:proofErr w:type="spellEnd"/>
      <w:r w:rsidRPr="0096030C">
        <w:rPr>
          <w:rFonts w:ascii="Verdana" w:hAnsi="Verdana"/>
          <w:sz w:val="18"/>
          <w:szCs w:val="18"/>
        </w:rPr>
        <w:t xml:space="preserve">, </w:t>
      </w:r>
      <w:proofErr w:type="spellStart"/>
      <w:r w:rsidRPr="0096030C">
        <w:rPr>
          <w:rFonts w:ascii="Verdana" w:hAnsi="Verdana"/>
          <w:sz w:val="18"/>
          <w:szCs w:val="18"/>
        </w:rPr>
        <w:t>Lumen</w:t>
      </w:r>
      <w:proofErr w:type="spellEnd"/>
      <w:r w:rsidRPr="0096030C">
        <w:rPr>
          <w:rFonts w:ascii="Verdana" w:hAnsi="Verdana"/>
          <w:sz w:val="18"/>
          <w:szCs w:val="18"/>
        </w:rPr>
        <w:t xml:space="preserve"> Juris, Rio de Janeiro, 2018, p. 108.</w:t>
      </w:r>
    </w:p>
  </w:footnote>
  <w:footnote w:id="40">
    <w:p w14:paraId="12648D17" w14:textId="77777777" w:rsidR="007D698A" w:rsidRPr="0096030C" w:rsidRDefault="007D698A" w:rsidP="0096030C">
      <w:pPr>
        <w:pStyle w:val="Textodenotaderodap"/>
        <w:spacing w:after="0" w:line="240" w:lineRule="auto"/>
        <w:jc w:val="both"/>
        <w:rPr>
          <w:rFonts w:ascii="Verdana" w:hAnsi="Verdana"/>
          <w:sz w:val="18"/>
          <w:szCs w:val="18"/>
        </w:rPr>
      </w:pPr>
      <w:r w:rsidRPr="0096030C">
        <w:rPr>
          <w:rStyle w:val="Refdenotaderodap"/>
          <w:rFonts w:ascii="Verdana" w:hAnsi="Verdana"/>
          <w:sz w:val="18"/>
          <w:szCs w:val="18"/>
        </w:rPr>
        <w:footnoteRef/>
      </w:r>
      <w:r w:rsidRPr="0096030C">
        <w:rPr>
          <w:rFonts w:ascii="Verdana" w:hAnsi="Verdana"/>
          <w:sz w:val="18"/>
          <w:szCs w:val="18"/>
        </w:rPr>
        <w:t xml:space="preserve"> O termo, no contexto, indica a ideia de controle de gastos.</w:t>
      </w:r>
    </w:p>
  </w:footnote>
  <w:footnote w:id="41">
    <w:p w14:paraId="36856EDE" w14:textId="77777777" w:rsidR="007D698A" w:rsidRPr="0096030C" w:rsidRDefault="007D698A" w:rsidP="0096030C">
      <w:pPr>
        <w:pStyle w:val="SemEspaamento"/>
        <w:jc w:val="both"/>
        <w:rPr>
          <w:rFonts w:ascii="Verdana" w:hAnsi="Verdana"/>
          <w:sz w:val="18"/>
          <w:szCs w:val="18"/>
        </w:rPr>
      </w:pPr>
      <w:r w:rsidRPr="0096030C">
        <w:rPr>
          <w:rStyle w:val="Refdenotaderodap"/>
          <w:rFonts w:ascii="Verdana" w:hAnsi="Verdana"/>
          <w:sz w:val="18"/>
          <w:szCs w:val="18"/>
        </w:rPr>
        <w:footnoteRef/>
      </w:r>
      <w:r w:rsidRPr="0096030C">
        <w:rPr>
          <w:rFonts w:ascii="Verdana" w:hAnsi="Verdana"/>
          <w:sz w:val="18"/>
          <w:szCs w:val="18"/>
        </w:rPr>
        <w:t xml:space="preserve"> FERRAJOLI, L. </w:t>
      </w:r>
      <w:r w:rsidRPr="0096030C">
        <w:rPr>
          <w:rFonts w:ascii="Verdana" w:hAnsi="Verdana"/>
          <w:bCs/>
          <w:i/>
          <w:iCs/>
          <w:sz w:val="18"/>
          <w:szCs w:val="18"/>
        </w:rPr>
        <w:t>A Democracia através dos Direitos</w:t>
      </w:r>
      <w:r w:rsidRPr="0096030C">
        <w:rPr>
          <w:rFonts w:ascii="Verdana" w:hAnsi="Verdana"/>
          <w:b/>
          <w:i/>
          <w:iCs/>
          <w:sz w:val="18"/>
          <w:szCs w:val="18"/>
        </w:rPr>
        <w:t>:</w:t>
      </w:r>
      <w:r w:rsidRPr="0096030C">
        <w:rPr>
          <w:rFonts w:ascii="Verdana" w:hAnsi="Verdana"/>
          <w:i/>
          <w:iCs/>
          <w:sz w:val="18"/>
          <w:szCs w:val="18"/>
        </w:rPr>
        <w:t xml:space="preserve"> o constitucionalismo </w:t>
      </w:r>
      <w:proofErr w:type="spellStart"/>
      <w:r w:rsidRPr="0096030C">
        <w:rPr>
          <w:rFonts w:ascii="Verdana" w:hAnsi="Verdana"/>
          <w:i/>
          <w:iCs/>
          <w:sz w:val="18"/>
          <w:szCs w:val="18"/>
        </w:rPr>
        <w:t>garantista</w:t>
      </w:r>
      <w:proofErr w:type="spellEnd"/>
      <w:r w:rsidRPr="0096030C">
        <w:rPr>
          <w:rFonts w:ascii="Verdana" w:hAnsi="Verdana"/>
          <w:i/>
          <w:iCs/>
          <w:sz w:val="18"/>
          <w:szCs w:val="18"/>
        </w:rPr>
        <w:t xml:space="preserve"> como modelo teórico e como projeto político, Revista dos Tribunais</w:t>
      </w:r>
      <w:r w:rsidRPr="0096030C">
        <w:rPr>
          <w:rFonts w:ascii="Verdana" w:hAnsi="Verdana"/>
          <w:sz w:val="18"/>
          <w:szCs w:val="18"/>
        </w:rPr>
        <w:t>, São Paulo, 2015, p. 161.</w:t>
      </w:r>
    </w:p>
  </w:footnote>
  <w:footnote w:id="42">
    <w:p w14:paraId="37FB0760" w14:textId="77777777" w:rsidR="007D698A" w:rsidRPr="0096030C" w:rsidRDefault="007D698A" w:rsidP="0096030C">
      <w:pPr>
        <w:pStyle w:val="SemEspaamento"/>
        <w:jc w:val="both"/>
        <w:rPr>
          <w:rFonts w:ascii="Verdana" w:hAnsi="Verdana"/>
          <w:sz w:val="18"/>
          <w:szCs w:val="18"/>
        </w:rPr>
      </w:pPr>
      <w:r w:rsidRPr="0096030C">
        <w:rPr>
          <w:rStyle w:val="Refdenotaderodap"/>
          <w:rFonts w:ascii="Verdana" w:hAnsi="Verdana"/>
          <w:sz w:val="18"/>
          <w:szCs w:val="18"/>
        </w:rPr>
        <w:footnoteRef/>
      </w:r>
      <w:r w:rsidRPr="0096030C">
        <w:rPr>
          <w:rFonts w:ascii="Verdana" w:hAnsi="Verdana"/>
          <w:sz w:val="18"/>
          <w:szCs w:val="18"/>
        </w:rPr>
        <w:t xml:space="preserve"> FERRAJOLI, L. </w:t>
      </w:r>
      <w:r w:rsidRPr="0096030C">
        <w:rPr>
          <w:rFonts w:ascii="Verdana" w:hAnsi="Verdana"/>
          <w:bCs/>
          <w:i/>
          <w:iCs/>
          <w:sz w:val="18"/>
          <w:szCs w:val="18"/>
        </w:rPr>
        <w:t>A Democracia através dos Direitos</w:t>
      </w:r>
      <w:r w:rsidRPr="0096030C">
        <w:rPr>
          <w:rFonts w:ascii="Verdana" w:hAnsi="Verdana"/>
          <w:b/>
          <w:i/>
          <w:iCs/>
          <w:sz w:val="18"/>
          <w:szCs w:val="18"/>
        </w:rPr>
        <w:t>:</w:t>
      </w:r>
      <w:r w:rsidRPr="0096030C">
        <w:rPr>
          <w:rFonts w:ascii="Verdana" w:hAnsi="Verdana"/>
          <w:i/>
          <w:iCs/>
          <w:sz w:val="18"/>
          <w:szCs w:val="18"/>
        </w:rPr>
        <w:t xml:space="preserve"> o constitucionalismo </w:t>
      </w:r>
      <w:proofErr w:type="spellStart"/>
      <w:r w:rsidRPr="0096030C">
        <w:rPr>
          <w:rFonts w:ascii="Verdana" w:hAnsi="Verdana"/>
          <w:i/>
          <w:iCs/>
          <w:sz w:val="18"/>
          <w:szCs w:val="18"/>
        </w:rPr>
        <w:t>garantista</w:t>
      </w:r>
      <w:proofErr w:type="spellEnd"/>
      <w:r w:rsidRPr="0096030C">
        <w:rPr>
          <w:rFonts w:ascii="Verdana" w:hAnsi="Verdana"/>
          <w:i/>
          <w:iCs/>
          <w:sz w:val="18"/>
          <w:szCs w:val="18"/>
        </w:rPr>
        <w:t xml:space="preserve"> como modelo teórico e como projeto político</w:t>
      </w:r>
      <w:r w:rsidRPr="0096030C">
        <w:rPr>
          <w:rFonts w:ascii="Verdana" w:hAnsi="Verdana"/>
          <w:sz w:val="18"/>
          <w:szCs w:val="18"/>
        </w:rPr>
        <w:t>, Revista dos Tribunais, São Paulo, 2015, p. 161-162.</w:t>
      </w:r>
    </w:p>
  </w:footnote>
  <w:footnote w:id="43">
    <w:p w14:paraId="3456C7B7" w14:textId="77777777" w:rsidR="007D698A" w:rsidRPr="0096030C" w:rsidRDefault="007D698A" w:rsidP="0096030C">
      <w:pPr>
        <w:autoSpaceDE w:val="0"/>
        <w:autoSpaceDN w:val="0"/>
        <w:adjustRightInd w:val="0"/>
        <w:spacing w:after="0" w:line="240" w:lineRule="auto"/>
        <w:jc w:val="both"/>
        <w:rPr>
          <w:rFonts w:ascii="Verdana" w:hAnsi="Verdana"/>
          <w:sz w:val="18"/>
          <w:szCs w:val="18"/>
          <w:shd w:val="clear" w:color="auto" w:fill="FFFFFF"/>
        </w:rPr>
      </w:pPr>
      <w:r w:rsidRPr="0096030C">
        <w:rPr>
          <w:rStyle w:val="Refdenotaderodap"/>
          <w:rFonts w:ascii="Verdana" w:hAnsi="Verdana"/>
          <w:sz w:val="18"/>
          <w:szCs w:val="18"/>
        </w:rPr>
        <w:footnoteRef/>
      </w:r>
      <w:r w:rsidRPr="0096030C">
        <w:rPr>
          <w:rFonts w:ascii="Verdana" w:hAnsi="Verdana"/>
          <w:sz w:val="18"/>
          <w:szCs w:val="18"/>
        </w:rPr>
        <w:t xml:space="preserve"> </w:t>
      </w:r>
      <w:r w:rsidRPr="0096030C">
        <w:rPr>
          <w:rFonts w:ascii="Verdana" w:hAnsi="Verdana"/>
          <w:sz w:val="18"/>
          <w:szCs w:val="18"/>
          <w:shd w:val="clear" w:color="auto" w:fill="FFFFFF"/>
        </w:rPr>
        <w:t xml:space="preserve">IBGE, Instituto Brasileiro de Geografia e Estatística. </w:t>
      </w:r>
      <w:r w:rsidRPr="0096030C">
        <w:rPr>
          <w:rFonts w:ascii="Verdana" w:hAnsi="Verdana"/>
          <w:i/>
          <w:iCs/>
          <w:sz w:val="18"/>
          <w:szCs w:val="18"/>
          <w:shd w:val="clear" w:color="auto" w:fill="FFFFFF"/>
        </w:rPr>
        <w:t>Desemprego</w:t>
      </w:r>
      <w:r w:rsidRPr="0096030C">
        <w:rPr>
          <w:rFonts w:ascii="Verdana" w:hAnsi="Verdana"/>
          <w:b/>
          <w:bCs/>
          <w:sz w:val="18"/>
          <w:szCs w:val="18"/>
          <w:shd w:val="clear" w:color="auto" w:fill="FFFFFF"/>
        </w:rPr>
        <w:t xml:space="preserve">, </w:t>
      </w:r>
      <w:r w:rsidRPr="0096030C">
        <w:rPr>
          <w:rFonts w:ascii="Verdana" w:hAnsi="Verdana"/>
          <w:sz w:val="18"/>
          <w:szCs w:val="18"/>
          <w:shd w:val="clear" w:color="auto" w:fill="FFFFFF"/>
        </w:rPr>
        <w:t>2020. Disponível em: &lt;https://www.ibge.gov.br/explica/desemprego.php&gt;. Acesso em: 01 dez. 2020.</w:t>
      </w:r>
    </w:p>
  </w:footnote>
  <w:footnote w:id="44">
    <w:p w14:paraId="00388928" w14:textId="77777777" w:rsidR="007D698A" w:rsidRPr="0096030C" w:rsidRDefault="007D698A" w:rsidP="0096030C">
      <w:pPr>
        <w:spacing w:after="0" w:line="240" w:lineRule="auto"/>
        <w:jc w:val="both"/>
        <w:rPr>
          <w:rFonts w:ascii="Verdana" w:hAnsi="Verdana"/>
          <w:sz w:val="18"/>
          <w:szCs w:val="18"/>
        </w:rPr>
      </w:pPr>
      <w:r w:rsidRPr="0096030C">
        <w:rPr>
          <w:rStyle w:val="Refdenotaderodap"/>
          <w:rFonts w:ascii="Verdana" w:hAnsi="Verdana"/>
          <w:sz w:val="18"/>
          <w:szCs w:val="18"/>
        </w:rPr>
        <w:footnoteRef/>
      </w:r>
      <w:r w:rsidRPr="0096030C">
        <w:rPr>
          <w:rFonts w:ascii="Verdana" w:hAnsi="Verdana"/>
          <w:sz w:val="18"/>
          <w:szCs w:val="18"/>
        </w:rPr>
        <w:t xml:space="preserve"> THE INTERCEPT BRASIL. </w:t>
      </w:r>
      <w:r w:rsidRPr="0096030C">
        <w:rPr>
          <w:rFonts w:ascii="Verdana" w:hAnsi="Verdana"/>
          <w:bCs/>
          <w:i/>
          <w:iCs/>
          <w:sz w:val="18"/>
          <w:szCs w:val="18"/>
        </w:rPr>
        <w:t>Lobistas de bancos, indústrias e transportes estão por trás das emendas da reforma trabalhista</w:t>
      </w:r>
      <w:r w:rsidRPr="0096030C">
        <w:rPr>
          <w:rFonts w:ascii="Verdana" w:hAnsi="Verdana"/>
          <w:b/>
          <w:sz w:val="18"/>
          <w:szCs w:val="18"/>
        </w:rPr>
        <w:t xml:space="preserve">, </w:t>
      </w:r>
      <w:r w:rsidRPr="0096030C">
        <w:rPr>
          <w:rFonts w:ascii="Verdana" w:hAnsi="Verdana"/>
          <w:sz w:val="18"/>
          <w:szCs w:val="18"/>
        </w:rPr>
        <w:t>2017. Disponível em: &lt;https://theintercept.com/2017/04 /26/lobistas-de-bancos-industrias-e-transportes-quem-esta-por-tras-das-emendas-da-reforma-trabalhista/</w:t>
      </w:r>
      <w:r w:rsidRPr="0096030C">
        <w:rPr>
          <w:rStyle w:val="Hiperlink"/>
          <w:rFonts w:ascii="Verdana" w:hAnsi="Verdana"/>
          <w:color w:val="auto"/>
          <w:sz w:val="18"/>
          <w:szCs w:val="18"/>
          <w:u w:val="none"/>
        </w:rPr>
        <w:t>&gt;. Acesso em: 10 dez. 2020.</w:t>
      </w:r>
    </w:p>
  </w:footnote>
  <w:footnote w:id="45">
    <w:p w14:paraId="13F2768F" w14:textId="77777777" w:rsidR="007D698A" w:rsidRPr="0096030C" w:rsidRDefault="007D698A" w:rsidP="0096030C">
      <w:pPr>
        <w:spacing w:after="0" w:line="240" w:lineRule="auto"/>
        <w:jc w:val="both"/>
        <w:rPr>
          <w:rFonts w:ascii="Verdana" w:hAnsi="Verdana"/>
          <w:sz w:val="18"/>
          <w:szCs w:val="18"/>
        </w:rPr>
      </w:pPr>
      <w:r w:rsidRPr="0096030C">
        <w:rPr>
          <w:rStyle w:val="Refdenotaderodap"/>
          <w:rFonts w:ascii="Verdana" w:hAnsi="Verdana"/>
          <w:sz w:val="18"/>
          <w:szCs w:val="18"/>
        </w:rPr>
        <w:footnoteRef/>
      </w:r>
      <w:r w:rsidRPr="0096030C">
        <w:rPr>
          <w:rFonts w:ascii="Verdana" w:hAnsi="Verdana"/>
          <w:sz w:val="18"/>
          <w:szCs w:val="18"/>
        </w:rPr>
        <w:t xml:space="preserve"> THE INTERCEPT BRASIL. </w:t>
      </w:r>
      <w:r w:rsidRPr="0096030C">
        <w:rPr>
          <w:rFonts w:ascii="Verdana" w:hAnsi="Verdana"/>
          <w:bCs/>
          <w:i/>
          <w:iCs/>
          <w:sz w:val="18"/>
          <w:szCs w:val="18"/>
        </w:rPr>
        <w:t>Lobistas de bancos, indústrias e transportes estão por trás das emendas da reforma trabalhista</w:t>
      </w:r>
      <w:r w:rsidRPr="0096030C">
        <w:rPr>
          <w:rFonts w:ascii="Verdana" w:hAnsi="Verdana"/>
          <w:b/>
          <w:sz w:val="18"/>
          <w:szCs w:val="18"/>
        </w:rPr>
        <w:t xml:space="preserve">, </w:t>
      </w:r>
      <w:r w:rsidRPr="0096030C">
        <w:rPr>
          <w:rFonts w:ascii="Verdana" w:hAnsi="Verdana"/>
          <w:sz w:val="18"/>
          <w:szCs w:val="18"/>
        </w:rPr>
        <w:t>2017. Disponível em: &lt;https://theintercept.com/2017/04 /26/lobistas-de-bancos-industrias-e-transportes-quem-esta-por-tras-das-emendas-da-reforma-trabalhista/</w:t>
      </w:r>
      <w:r w:rsidRPr="0096030C">
        <w:rPr>
          <w:rStyle w:val="Hiperlink"/>
          <w:rFonts w:ascii="Verdana" w:hAnsi="Verdana"/>
          <w:color w:val="auto"/>
          <w:sz w:val="18"/>
          <w:szCs w:val="18"/>
          <w:u w:val="none"/>
        </w:rPr>
        <w:t>&gt;. Acesso em: 10 dez. 2020.</w:t>
      </w:r>
    </w:p>
  </w:footnote>
  <w:footnote w:id="46">
    <w:p w14:paraId="57BB1A2D" w14:textId="77777777" w:rsidR="007D698A" w:rsidRPr="0096030C" w:rsidRDefault="007D698A" w:rsidP="0096030C">
      <w:pPr>
        <w:pStyle w:val="Textodenotaderodap"/>
        <w:spacing w:after="0" w:line="240" w:lineRule="auto"/>
        <w:jc w:val="both"/>
        <w:rPr>
          <w:rFonts w:ascii="Verdana" w:hAnsi="Verdana"/>
          <w:sz w:val="18"/>
          <w:szCs w:val="18"/>
        </w:rPr>
      </w:pPr>
      <w:r w:rsidRPr="0096030C">
        <w:rPr>
          <w:rStyle w:val="Refdenotaderodap"/>
          <w:rFonts w:ascii="Verdana" w:hAnsi="Verdana"/>
          <w:sz w:val="18"/>
          <w:szCs w:val="18"/>
        </w:rPr>
        <w:footnoteRef/>
      </w:r>
      <w:r w:rsidRPr="0096030C">
        <w:rPr>
          <w:rFonts w:ascii="Verdana" w:hAnsi="Verdana"/>
          <w:sz w:val="18"/>
          <w:szCs w:val="18"/>
        </w:rPr>
        <w:t xml:space="preserve"> Para a construção da análise, foram mapeados os dados disponibilizados pelo G1 em: &lt;http://especiais.g1.globo.com/politica/2019/o-voto-dos-deputados/#/deputados/undefined&gt;, referente aos votos de cada deputado federal nos dois turnos da proposta de reforma da previdência, bem como a prestação de contas da campanha eleitoral de 2018 disponibilizada pelo Tribunal Superior Eleitoral em: &lt;http://divulgacandcontas.tse.jus.br/divulga/#/consulta/campanha/2018/2022802018/ranks&gt;.</w:t>
      </w:r>
    </w:p>
  </w:footnote>
  <w:footnote w:id="47">
    <w:p w14:paraId="3FE80A78" w14:textId="77777777" w:rsidR="007D698A" w:rsidRPr="0096030C" w:rsidRDefault="007D698A" w:rsidP="0096030C">
      <w:pPr>
        <w:pStyle w:val="Textodenotaderodap"/>
        <w:spacing w:after="0" w:line="240" w:lineRule="auto"/>
        <w:jc w:val="both"/>
        <w:rPr>
          <w:rFonts w:ascii="Verdana" w:hAnsi="Verdana"/>
          <w:sz w:val="18"/>
          <w:szCs w:val="18"/>
        </w:rPr>
      </w:pPr>
      <w:r w:rsidRPr="0096030C">
        <w:rPr>
          <w:rStyle w:val="Refdenotaderodap"/>
          <w:rFonts w:ascii="Verdana" w:hAnsi="Verdana"/>
          <w:sz w:val="18"/>
          <w:szCs w:val="18"/>
        </w:rPr>
        <w:footnoteRef/>
      </w:r>
      <w:r w:rsidRPr="0096030C">
        <w:rPr>
          <w:rFonts w:ascii="Verdana" w:hAnsi="Verdana"/>
          <w:sz w:val="18"/>
          <w:szCs w:val="18"/>
        </w:rPr>
        <w:t xml:space="preserve"> De acordo com o detalhamento da prestação de contas do empresário, os deputados federais que receberam doações do empresário e votaram “sim” foram: Arnaldo Jardim (</w:t>
      </w:r>
      <w:proofErr w:type="spellStart"/>
      <w:r w:rsidRPr="0096030C">
        <w:rPr>
          <w:rFonts w:ascii="Verdana" w:hAnsi="Verdana"/>
          <w:sz w:val="18"/>
          <w:szCs w:val="18"/>
        </w:rPr>
        <w:t>Cidadania-SP</w:t>
      </w:r>
      <w:proofErr w:type="spellEnd"/>
      <w:r w:rsidRPr="0096030C">
        <w:rPr>
          <w:rFonts w:ascii="Verdana" w:hAnsi="Verdana"/>
          <w:sz w:val="18"/>
          <w:szCs w:val="18"/>
        </w:rPr>
        <w:t xml:space="preserve">), Sérgio de Souza (MDB-PR), Pedro </w:t>
      </w:r>
      <w:proofErr w:type="spellStart"/>
      <w:r w:rsidRPr="0096030C">
        <w:rPr>
          <w:rFonts w:ascii="Verdana" w:hAnsi="Verdana"/>
          <w:sz w:val="18"/>
          <w:szCs w:val="18"/>
        </w:rPr>
        <w:t>Lupion</w:t>
      </w:r>
      <w:proofErr w:type="spellEnd"/>
      <w:r w:rsidRPr="0096030C">
        <w:rPr>
          <w:rFonts w:ascii="Verdana" w:hAnsi="Verdana"/>
          <w:sz w:val="18"/>
          <w:szCs w:val="18"/>
        </w:rPr>
        <w:t xml:space="preserve"> (DEM-PR), Ricardo Barros (PP-PR), Jerônimo </w:t>
      </w:r>
      <w:proofErr w:type="spellStart"/>
      <w:r w:rsidRPr="0096030C">
        <w:rPr>
          <w:rFonts w:ascii="Verdana" w:hAnsi="Verdana"/>
          <w:sz w:val="18"/>
          <w:szCs w:val="18"/>
        </w:rPr>
        <w:t>Goergen</w:t>
      </w:r>
      <w:proofErr w:type="spellEnd"/>
      <w:r w:rsidRPr="0096030C">
        <w:rPr>
          <w:rFonts w:ascii="Verdana" w:hAnsi="Verdana"/>
          <w:sz w:val="18"/>
          <w:szCs w:val="18"/>
        </w:rPr>
        <w:t xml:space="preserve"> (PP-RS), Efraim Filho (DEM-PB), Hugo Leal (PSD-RJ). Por outro lado, os deputados federais que votaram “não” foram: Arlindo Chinaglia Junior (PT-SP), Carlos Zarattini (PT-SP), Felix Mendonça Junior (PDT-BA) Fernando Monteiro de Albuquerque (PP-PE).</w:t>
      </w:r>
    </w:p>
  </w:footnote>
  <w:footnote w:id="48">
    <w:p w14:paraId="43E66CA5" w14:textId="77777777" w:rsidR="007D698A" w:rsidRPr="0096030C" w:rsidRDefault="007D698A" w:rsidP="0096030C">
      <w:pPr>
        <w:pStyle w:val="Textodenotaderodap"/>
        <w:spacing w:after="0" w:line="240" w:lineRule="auto"/>
        <w:jc w:val="both"/>
        <w:rPr>
          <w:rFonts w:ascii="Verdana" w:hAnsi="Verdana"/>
          <w:sz w:val="18"/>
          <w:szCs w:val="18"/>
          <w:shd w:val="clear" w:color="auto" w:fill="FFFFFF"/>
        </w:rPr>
      </w:pPr>
      <w:r w:rsidRPr="0096030C">
        <w:rPr>
          <w:rStyle w:val="Refdenotaderodap"/>
          <w:rFonts w:ascii="Verdana" w:hAnsi="Verdana"/>
          <w:sz w:val="18"/>
          <w:szCs w:val="18"/>
        </w:rPr>
        <w:footnoteRef/>
      </w:r>
      <w:r w:rsidRPr="0096030C">
        <w:rPr>
          <w:rFonts w:ascii="Verdana" w:hAnsi="Verdana"/>
          <w:sz w:val="18"/>
          <w:szCs w:val="18"/>
        </w:rPr>
        <w:t xml:space="preserve"> De acordo com o detalhamento da prestação de contas do empresário, os deputados federais que receberam doações do empresário e votaram “sim” foram</w:t>
      </w:r>
      <w:r w:rsidRPr="0096030C">
        <w:rPr>
          <w:rFonts w:ascii="Verdana" w:hAnsi="Verdana"/>
          <w:sz w:val="18"/>
          <w:szCs w:val="18"/>
          <w:shd w:val="clear" w:color="auto" w:fill="FFFFFF"/>
        </w:rPr>
        <w:t xml:space="preserve">: Rodrigo Maia (DEM-RJ), Marcel Van </w:t>
      </w:r>
      <w:proofErr w:type="spellStart"/>
      <w:r w:rsidRPr="0096030C">
        <w:rPr>
          <w:rFonts w:ascii="Verdana" w:hAnsi="Verdana"/>
          <w:sz w:val="18"/>
          <w:szCs w:val="18"/>
          <w:shd w:val="clear" w:color="auto" w:fill="FFFFFF"/>
        </w:rPr>
        <w:t>Hattem</w:t>
      </w:r>
      <w:proofErr w:type="spellEnd"/>
      <w:r w:rsidRPr="0096030C">
        <w:rPr>
          <w:rFonts w:ascii="Verdana" w:hAnsi="Verdana"/>
          <w:sz w:val="18"/>
          <w:szCs w:val="18"/>
          <w:shd w:val="clear" w:color="auto" w:fill="FFFFFF"/>
        </w:rPr>
        <w:t xml:space="preserve"> (</w:t>
      </w:r>
      <w:proofErr w:type="spellStart"/>
      <w:r w:rsidRPr="0096030C">
        <w:rPr>
          <w:rFonts w:ascii="Verdana" w:hAnsi="Verdana"/>
          <w:sz w:val="18"/>
          <w:szCs w:val="18"/>
          <w:shd w:val="clear" w:color="auto" w:fill="FFFFFF"/>
        </w:rPr>
        <w:t>Novo-RS</w:t>
      </w:r>
      <w:proofErr w:type="spellEnd"/>
      <w:r w:rsidRPr="0096030C">
        <w:rPr>
          <w:rFonts w:ascii="Verdana" w:hAnsi="Verdana"/>
          <w:sz w:val="18"/>
          <w:szCs w:val="18"/>
          <w:shd w:val="clear" w:color="auto" w:fill="FFFFFF"/>
        </w:rPr>
        <w:t xml:space="preserve">), Tiago </w:t>
      </w:r>
      <w:proofErr w:type="spellStart"/>
      <w:r w:rsidRPr="0096030C">
        <w:rPr>
          <w:rFonts w:ascii="Verdana" w:hAnsi="Verdana"/>
          <w:sz w:val="18"/>
          <w:szCs w:val="18"/>
          <w:shd w:val="clear" w:color="auto" w:fill="FFFFFF"/>
        </w:rPr>
        <w:t>Mitraud</w:t>
      </w:r>
      <w:proofErr w:type="spellEnd"/>
      <w:r w:rsidRPr="0096030C">
        <w:rPr>
          <w:rFonts w:ascii="Verdana" w:hAnsi="Verdana"/>
          <w:sz w:val="18"/>
          <w:szCs w:val="18"/>
          <w:shd w:val="clear" w:color="auto" w:fill="FFFFFF"/>
        </w:rPr>
        <w:t xml:space="preserve"> (Novo-MG), Lucas </w:t>
      </w:r>
      <w:proofErr w:type="spellStart"/>
      <w:r w:rsidRPr="0096030C">
        <w:rPr>
          <w:rFonts w:ascii="Verdana" w:hAnsi="Verdana"/>
          <w:sz w:val="18"/>
          <w:szCs w:val="18"/>
          <w:shd w:val="clear" w:color="auto" w:fill="FFFFFF"/>
        </w:rPr>
        <w:t>Gonzales</w:t>
      </w:r>
      <w:proofErr w:type="spellEnd"/>
      <w:r w:rsidRPr="0096030C">
        <w:rPr>
          <w:rFonts w:ascii="Verdana" w:hAnsi="Verdana"/>
          <w:sz w:val="18"/>
          <w:szCs w:val="18"/>
          <w:shd w:val="clear" w:color="auto" w:fill="FFFFFF"/>
        </w:rPr>
        <w:t xml:space="preserve"> (Novo-MG), Paulo Eduardo Lima Martins (PSC-PR), Kim </w:t>
      </w:r>
      <w:proofErr w:type="spellStart"/>
      <w:r w:rsidRPr="0096030C">
        <w:rPr>
          <w:rFonts w:ascii="Verdana" w:hAnsi="Verdana"/>
          <w:sz w:val="18"/>
          <w:szCs w:val="18"/>
          <w:shd w:val="clear" w:color="auto" w:fill="FFFFFF"/>
        </w:rPr>
        <w:t>Kataguiri</w:t>
      </w:r>
      <w:proofErr w:type="spellEnd"/>
      <w:r w:rsidRPr="0096030C">
        <w:rPr>
          <w:rFonts w:ascii="Verdana" w:hAnsi="Verdana"/>
          <w:sz w:val="18"/>
          <w:szCs w:val="18"/>
          <w:shd w:val="clear" w:color="auto" w:fill="FFFFFF"/>
        </w:rPr>
        <w:t xml:space="preserve"> (DEM-SP), Pedro Cunha Lima (PSBD-PB), Vinicius </w:t>
      </w:r>
      <w:proofErr w:type="spellStart"/>
      <w:r w:rsidRPr="0096030C">
        <w:rPr>
          <w:rFonts w:ascii="Verdana" w:hAnsi="Verdana"/>
          <w:sz w:val="18"/>
          <w:szCs w:val="18"/>
          <w:shd w:val="clear" w:color="auto" w:fill="FFFFFF"/>
        </w:rPr>
        <w:t>Poit</w:t>
      </w:r>
      <w:proofErr w:type="spellEnd"/>
      <w:r w:rsidRPr="0096030C">
        <w:rPr>
          <w:rFonts w:ascii="Verdana" w:hAnsi="Verdana"/>
          <w:sz w:val="18"/>
          <w:szCs w:val="18"/>
          <w:shd w:val="clear" w:color="auto" w:fill="FFFFFF"/>
        </w:rPr>
        <w:t xml:space="preserve"> (</w:t>
      </w:r>
      <w:proofErr w:type="spellStart"/>
      <w:r w:rsidRPr="0096030C">
        <w:rPr>
          <w:rFonts w:ascii="Verdana" w:hAnsi="Verdana"/>
          <w:sz w:val="18"/>
          <w:szCs w:val="18"/>
          <w:shd w:val="clear" w:color="auto" w:fill="FFFFFF"/>
        </w:rPr>
        <w:t>Novo-SP</w:t>
      </w:r>
      <w:proofErr w:type="spellEnd"/>
      <w:r w:rsidRPr="0096030C">
        <w:rPr>
          <w:rFonts w:ascii="Verdana" w:hAnsi="Verdana"/>
          <w:sz w:val="18"/>
          <w:szCs w:val="18"/>
          <w:shd w:val="clear" w:color="auto" w:fill="FFFFFF"/>
        </w:rPr>
        <w:t>).</w:t>
      </w:r>
    </w:p>
  </w:footnote>
  <w:footnote w:id="49">
    <w:p w14:paraId="79E2C19E" w14:textId="77777777" w:rsidR="007D698A" w:rsidRPr="0096030C" w:rsidRDefault="007D698A" w:rsidP="0096030C">
      <w:pPr>
        <w:spacing w:after="0" w:line="240" w:lineRule="auto"/>
        <w:jc w:val="both"/>
        <w:rPr>
          <w:rFonts w:ascii="Verdana" w:hAnsi="Verdana"/>
          <w:sz w:val="18"/>
          <w:szCs w:val="18"/>
        </w:rPr>
      </w:pPr>
      <w:r w:rsidRPr="0096030C">
        <w:rPr>
          <w:rStyle w:val="Refdenotaderodap"/>
          <w:rFonts w:ascii="Verdana" w:hAnsi="Verdana"/>
          <w:sz w:val="18"/>
          <w:szCs w:val="18"/>
        </w:rPr>
        <w:footnoteRef/>
      </w:r>
      <w:r w:rsidRPr="0096030C">
        <w:rPr>
          <w:rFonts w:ascii="Verdana" w:hAnsi="Verdana"/>
          <w:sz w:val="18"/>
          <w:szCs w:val="18"/>
        </w:rPr>
        <w:t xml:space="preserve"> “Constatamos que, junto dos empreendimentos urbanos “propiciados pela Copa FIFA 2014”, estão associadas às mais diversas violações de direitos fundamentais: à soberania do país, leis de exceções, remoções forçadas, planejamento privado das cidades, doações de terras públicas à iniciativa privada, falta de participação, informação e transparência, mercantilização da natureza, elitização do futebol, privatização dos espaços públicos, financiamentos especiais aos parceiros comerciais da FIFA e muitos outros”. </w:t>
      </w:r>
      <w:r w:rsidRPr="0096030C">
        <w:rPr>
          <w:rStyle w:val="Hiperlink"/>
          <w:rFonts w:ascii="Verdana" w:hAnsi="Verdana"/>
          <w:color w:val="auto"/>
          <w:sz w:val="18"/>
          <w:szCs w:val="18"/>
          <w:u w:val="none"/>
        </w:rPr>
        <w:t xml:space="preserve">COMITÊ POPULAR DA COPA. </w:t>
      </w:r>
      <w:r w:rsidRPr="0096030C">
        <w:rPr>
          <w:rStyle w:val="Hiperlink"/>
          <w:rFonts w:ascii="Verdana" w:hAnsi="Verdana"/>
          <w:bCs/>
          <w:i/>
          <w:iCs/>
          <w:color w:val="auto"/>
          <w:sz w:val="18"/>
          <w:szCs w:val="18"/>
          <w:u w:val="none"/>
        </w:rPr>
        <w:t>Copa do Mundo FIFA 2014 e as violações de Direitos Humanos em Porto Alegre,</w:t>
      </w:r>
      <w:r w:rsidRPr="0096030C">
        <w:rPr>
          <w:rStyle w:val="Hiperlink"/>
          <w:rFonts w:ascii="Verdana" w:hAnsi="Verdana"/>
          <w:color w:val="auto"/>
          <w:sz w:val="18"/>
          <w:szCs w:val="18"/>
          <w:u w:val="none"/>
        </w:rPr>
        <w:t xml:space="preserve"> 2018, p. 77. Disponível em: &lt;</w:t>
      </w:r>
      <w:r w:rsidRPr="0096030C">
        <w:rPr>
          <w:rFonts w:ascii="Verdana" w:hAnsi="Verdana"/>
          <w:sz w:val="18"/>
          <w:szCs w:val="18"/>
        </w:rPr>
        <w:t>https://br.boell.org /sites/default/files/dossie_copa_poa_bollbrasil.pdf</w:t>
      </w:r>
      <w:r w:rsidRPr="0096030C">
        <w:rPr>
          <w:rStyle w:val="Hiperlink"/>
          <w:rFonts w:ascii="Verdana" w:hAnsi="Verdana"/>
          <w:color w:val="auto"/>
          <w:sz w:val="18"/>
          <w:szCs w:val="18"/>
          <w:u w:val="none"/>
        </w:rPr>
        <w:t>&gt;. Acesso em: 05 dez. 2020.</w:t>
      </w:r>
    </w:p>
  </w:footnote>
  <w:footnote w:id="50">
    <w:p w14:paraId="0B2AB5C6" w14:textId="77777777" w:rsidR="007D698A" w:rsidRPr="0096030C" w:rsidRDefault="007D698A" w:rsidP="0096030C">
      <w:pPr>
        <w:spacing w:after="0" w:line="240" w:lineRule="auto"/>
        <w:jc w:val="both"/>
        <w:rPr>
          <w:rFonts w:ascii="Verdana" w:hAnsi="Verdana"/>
          <w:sz w:val="18"/>
          <w:szCs w:val="18"/>
        </w:rPr>
      </w:pPr>
      <w:r w:rsidRPr="0096030C">
        <w:rPr>
          <w:rStyle w:val="Refdenotaderodap"/>
          <w:rFonts w:ascii="Verdana" w:hAnsi="Verdana"/>
          <w:sz w:val="18"/>
          <w:szCs w:val="18"/>
        </w:rPr>
        <w:footnoteRef/>
      </w:r>
      <w:r w:rsidRPr="0096030C">
        <w:rPr>
          <w:rFonts w:ascii="Verdana" w:hAnsi="Verdana"/>
          <w:sz w:val="18"/>
          <w:szCs w:val="18"/>
        </w:rPr>
        <w:t xml:space="preserve"> </w:t>
      </w:r>
      <w:r w:rsidRPr="0096030C">
        <w:rPr>
          <w:rStyle w:val="Hiperlink"/>
          <w:rFonts w:ascii="Verdana" w:hAnsi="Verdana"/>
          <w:color w:val="auto"/>
          <w:sz w:val="18"/>
          <w:szCs w:val="18"/>
          <w:u w:val="none"/>
        </w:rPr>
        <w:t xml:space="preserve">COMITÊ POPULAR DA COPA. </w:t>
      </w:r>
      <w:r w:rsidRPr="0096030C">
        <w:rPr>
          <w:rStyle w:val="Hiperlink"/>
          <w:rFonts w:ascii="Verdana" w:hAnsi="Verdana"/>
          <w:bCs/>
          <w:i/>
          <w:iCs/>
          <w:color w:val="auto"/>
          <w:sz w:val="18"/>
          <w:szCs w:val="18"/>
          <w:u w:val="none"/>
        </w:rPr>
        <w:t>Copa do Mundo FIFA 2014 e as violações de Direitos Humanos em Porto Alegre,</w:t>
      </w:r>
      <w:r w:rsidRPr="0096030C">
        <w:rPr>
          <w:rStyle w:val="Hiperlink"/>
          <w:rFonts w:ascii="Verdana" w:hAnsi="Verdana"/>
          <w:color w:val="auto"/>
          <w:sz w:val="18"/>
          <w:szCs w:val="18"/>
          <w:u w:val="none"/>
        </w:rPr>
        <w:t xml:space="preserve"> 2018, p. 77. Disponível em: &lt;</w:t>
      </w:r>
      <w:r w:rsidRPr="0096030C">
        <w:rPr>
          <w:rFonts w:ascii="Verdana" w:hAnsi="Verdana"/>
          <w:sz w:val="18"/>
          <w:szCs w:val="18"/>
        </w:rPr>
        <w:t>https://br.boell.org /sites/default/files/dossie_copa_poa_bollbrasil.pdf</w:t>
      </w:r>
      <w:r w:rsidRPr="0096030C">
        <w:rPr>
          <w:rStyle w:val="Hiperlink"/>
          <w:rFonts w:ascii="Verdana" w:hAnsi="Verdana"/>
          <w:color w:val="auto"/>
          <w:sz w:val="18"/>
          <w:szCs w:val="18"/>
          <w:u w:val="none"/>
        </w:rPr>
        <w:t>&gt;. Acesso em: 05 dez. 2020.</w:t>
      </w:r>
    </w:p>
  </w:footnote>
  <w:footnote w:id="51">
    <w:p w14:paraId="008C2BA6" w14:textId="77777777" w:rsidR="007D698A" w:rsidRPr="0096030C" w:rsidRDefault="007D698A" w:rsidP="0096030C">
      <w:pPr>
        <w:pStyle w:val="Textodenotaderodap"/>
        <w:spacing w:after="0" w:line="240" w:lineRule="auto"/>
        <w:jc w:val="both"/>
        <w:rPr>
          <w:rFonts w:ascii="Verdana" w:hAnsi="Verdana"/>
          <w:sz w:val="18"/>
          <w:szCs w:val="18"/>
        </w:rPr>
      </w:pPr>
      <w:r w:rsidRPr="0096030C">
        <w:rPr>
          <w:rStyle w:val="Refdenotaderodap"/>
          <w:rFonts w:ascii="Verdana" w:hAnsi="Verdana"/>
          <w:sz w:val="18"/>
          <w:szCs w:val="18"/>
        </w:rPr>
        <w:footnoteRef/>
      </w:r>
      <w:r w:rsidRPr="0096030C">
        <w:rPr>
          <w:rFonts w:ascii="Verdana" w:hAnsi="Verdana"/>
          <w:sz w:val="18"/>
          <w:szCs w:val="18"/>
        </w:rPr>
        <w:t xml:space="preserve"> MILANOVIC, B. </w:t>
      </w:r>
      <w:r w:rsidRPr="0096030C">
        <w:rPr>
          <w:rFonts w:ascii="Verdana" w:hAnsi="Verdana"/>
          <w:bCs/>
          <w:i/>
          <w:iCs/>
          <w:sz w:val="18"/>
          <w:szCs w:val="18"/>
        </w:rPr>
        <w:t>A desigualdade no mundo</w:t>
      </w:r>
      <w:r w:rsidRPr="0096030C">
        <w:rPr>
          <w:rFonts w:ascii="Verdana" w:hAnsi="Verdana"/>
          <w:i/>
          <w:iCs/>
          <w:sz w:val="18"/>
          <w:szCs w:val="18"/>
        </w:rPr>
        <w:t>: uma nova abordagem para a era da globalização</w:t>
      </w:r>
      <w:r w:rsidRPr="0096030C">
        <w:rPr>
          <w:rFonts w:ascii="Verdana" w:hAnsi="Verdana"/>
          <w:sz w:val="18"/>
          <w:szCs w:val="18"/>
        </w:rPr>
        <w:t xml:space="preserve">. Trad. PEREIRA DA SILVA, M., </w:t>
      </w:r>
      <w:proofErr w:type="spellStart"/>
      <w:r w:rsidRPr="0096030C">
        <w:rPr>
          <w:rFonts w:ascii="Verdana" w:hAnsi="Verdana"/>
          <w:sz w:val="18"/>
          <w:szCs w:val="18"/>
        </w:rPr>
        <w:t>Actual</w:t>
      </w:r>
      <w:proofErr w:type="spellEnd"/>
      <w:r w:rsidRPr="0096030C">
        <w:rPr>
          <w:rFonts w:ascii="Verdana" w:hAnsi="Verdana"/>
          <w:sz w:val="18"/>
          <w:szCs w:val="18"/>
        </w:rPr>
        <w:t>, São Paulo, 2017, p. 32.</w:t>
      </w:r>
    </w:p>
  </w:footnote>
  <w:footnote w:id="52">
    <w:p w14:paraId="1C73340F" w14:textId="77777777" w:rsidR="007D698A" w:rsidRPr="0096030C" w:rsidRDefault="007D698A" w:rsidP="0096030C">
      <w:pPr>
        <w:pStyle w:val="Textodenotaderodap"/>
        <w:spacing w:after="0" w:line="240" w:lineRule="auto"/>
        <w:jc w:val="both"/>
        <w:rPr>
          <w:rFonts w:ascii="Verdana" w:hAnsi="Verdana"/>
          <w:sz w:val="18"/>
          <w:szCs w:val="18"/>
        </w:rPr>
      </w:pPr>
      <w:r w:rsidRPr="0096030C">
        <w:rPr>
          <w:rStyle w:val="Refdenotaderodap"/>
          <w:rFonts w:ascii="Verdana" w:hAnsi="Verdana"/>
          <w:sz w:val="18"/>
          <w:szCs w:val="18"/>
        </w:rPr>
        <w:footnoteRef/>
      </w:r>
      <w:r w:rsidRPr="0096030C">
        <w:rPr>
          <w:rFonts w:ascii="Verdana" w:hAnsi="Verdana"/>
          <w:sz w:val="18"/>
          <w:szCs w:val="18"/>
        </w:rPr>
        <w:t xml:space="preserve"> </w:t>
      </w:r>
      <w:proofErr w:type="spellStart"/>
      <w:r w:rsidRPr="0096030C">
        <w:rPr>
          <w:rFonts w:ascii="Verdana" w:hAnsi="Verdana"/>
          <w:sz w:val="18"/>
          <w:szCs w:val="18"/>
        </w:rPr>
        <w:t>Milanovic</w:t>
      </w:r>
      <w:proofErr w:type="spellEnd"/>
      <w:r w:rsidRPr="0096030C">
        <w:rPr>
          <w:rFonts w:ascii="Verdana" w:hAnsi="Verdana"/>
          <w:sz w:val="18"/>
          <w:szCs w:val="18"/>
        </w:rPr>
        <w:t xml:space="preserve"> indica que o desenvolvimento mais significativo da era da globalização (com início no final da década de 1980) deu-se em relação à plutocracia mundial. Nesse sentido, dados mapeados pelo autor indicam que entre os anos 1987 e 2013, os hiper-ricos aumentaram sua riqueza total que, medida em termos de PIB mundial, mais do que duplicou. MILANOVIC, B. </w:t>
      </w:r>
      <w:r w:rsidRPr="0096030C">
        <w:rPr>
          <w:rFonts w:ascii="Verdana" w:hAnsi="Verdana"/>
          <w:bCs/>
          <w:i/>
          <w:iCs/>
          <w:sz w:val="18"/>
          <w:szCs w:val="18"/>
        </w:rPr>
        <w:t>A desigualdade no mundo</w:t>
      </w:r>
      <w:r w:rsidRPr="0096030C">
        <w:rPr>
          <w:rFonts w:ascii="Verdana" w:hAnsi="Verdana"/>
          <w:i/>
          <w:iCs/>
          <w:sz w:val="18"/>
          <w:szCs w:val="18"/>
        </w:rPr>
        <w:t>: uma nova abordagem para a era da globalização</w:t>
      </w:r>
      <w:r w:rsidRPr="0096030C">
        <w:rPr>
          <w:rFonts w:ascii="Verdana" w:hAnsi="Verdana"/>
          <w:sz w:val="18"/>
          <w:szCs w:val="18"/>
        </w:rPr>
        <w:t xml:space="preserve">. Trad. PEREIRA DA SILVA, M., </w:t>
      </w:r>
      <w:proofErr w:type="spellStart"/>
      <w:r w:rsidRPr="0096030C">
        <w:rPr>
          <w:rFonts w:ascii="Verdana" w:hAnsi="Verdana"/>
          <w:sz w:val="18"/>
          <w:szCs w:val="18"/>
        </w:rPr>
        <w:t>Actual</w:t>
      </w:r>
      <w:proofErr w:type="spellEnd"/>
      <w:r w:rsidRPr="0096030C">
        <w:rPr>
          <w:rFonts w:ascii="Verdana" w:hAnsi="Verdana"/>
          <w:sz w:val="18"/>
          <w:szCs w:val="18"/>
        </w:rPr>
        <w:t>, São Paulo, 2017, p. 55.</w:t>
      </w:r>
    </w:p>
  </w:footnote>
  <w:footnote w:id="53">
    <w:p w14:paraId="0AA0D222" w14:textId="77777777" w:rsidR="007D698A" w:rsidRPr="0096030C" w:rsidRDefault="007D698A" w:rsidP="0096030C">
      <w:pPr>
        <w:pStyle w:val="SemEspaamento"/>
        <w:jc w:val="both"/>
        <w:rPr>
          <w:rFonts w:ascii="Verdana" w:hAnsi="Verdana"/>
          <w:sz w:val="18"/>
          <w:szCs w:val="18"/>
        </w:rPr>
      </w:pPr>
      <w:r w:rsidRPr="0096030C">
        <w:rPr>
          <w:rStyle w:val="Refdenotaderodap"/>
          <w:rFonts w:ascii="Verdana" w:hAnsi="Verdana"/>
          <w:sz w:val="18"/>
          <w:szCs w:val="18"/>
        </w:rPr>
        <w:footnoteRef/>
      </w:r>
      <w:r w:rsidRPr="0096030C">
        <w:rPr>
          <w:rFonts w:ascii="Verdana" w:hAnsi="Verdana"/>
          <w:sz w:val="18"/>
          <w:szCs w:val="18"/>
        </w:rPr>
        <w:t xml:space="preserve"> “O plutocrata tradicional da Europa costuma ser judeu, oriundo do mundo das finanças e, sua evocação faz parte normalmente do repertório retórico da extrema direita fascista”. </w:t>
      </w:r>
      <w:r w:rsidRPr="0096030C">
        <w:rPr>
          <w:rStyle w:val="Hiperlink"/>
          <w:rFonts w:ascii="Verdana" w:hAnsi="Verdana"/>
          <w:color w:val="auto"/>
          <w:sz w:val="18"/>
          <w:szCs w:val="18"/>
          <w:u w:val="none"/>
        </w:rPr>
        <w:t xml:space="preserve">GRUN, R. “Entre a plutocracia e a legitimação da dominação financeira”. </w:t>
      </w:r>
      <w:r w:rsidRPr="0096030C">
        <w:rPr>
          <w:rStyle w:val="Hiperlink"/>
          <w:rFonts w:ascii="Verdana" w:hAnsi="Verdana"/>
          <w:i/>
          <w:iCs/>
          <w:color w:val="auto"/>
          <w:sz w:val="18"/>
          <w:szCs w:val="18"/>
          <w:u w:val="none"/>
        </w:rPr>
        <w:t>Revista Brasileira de Ciências Sociais,</w:t>
      </w:r>
      <w:r w:rsidRPr="0096030C">
        <w:rPr>
          <w:rStyle w:val="Hiperlink"/>
          <w:rFonts w:ascii="Verdana" w:hAnsi="Verdana"/>
          <w:color w:val="auto"/>
          <w:sz w:val="18"/>
          <w:szCs w:val="18"/>
          <w:u w:val="none"/>
        </w:rPr>
        <w:t xml:space="preserve"> vol. 22, n. 65, 2007, p. 85-107. Disponível em: &lt;http://www.redalyc.org/articulo.oa?id=10706508&gt;. Acesso em: 10 dez. 2020.</w:t>
      </w:r>
    </w:p>
  </w:footnote>
  <w:footnote w:id="54">
    <w:p w14:paraId="56AA278C" w14:textId="77777777" w:rsidR="007D698A" w:rsidRPr="0096030C" w:rsidRDefault="007D698A" w:rsidP="0096030C">
      <w:pPr>
        <w:pStyle w:val="SemEspaamento"/>
        <w:jc w:val="both"/>
        <w:rPr>
          <w:rFonts w:ascii="Verdana" w:hAnsi="Verdana"/>
          <w:sz w:val="18"/>
          <w:szCs w:val="18"/>
        </w:rPr>
      </w:pPr>
      <w:r w:rsidRPr="0096030C">
        <w:rPr>
          <w:rStyle w:val="Refdenotaderodap"/>
          <w:rFonts w:ascii="Verdana" w:hAnsi="Verdana"/>
          <w:sz w:val="18"/>
          <w:szCs w:val="18"/>
        </w:rPr>
        <w:footnoteRef/>
      </w:r>
      <w:r w:rsidRPr="0096030C">
        <w:rPr>
          <w:rFonts w:ascii="Verdana" w:hAnsi="Verdana"/>
          <w:sz w:val="18"/>
          <w:szCs w:val="18"/>
        </w:rPr>
        <w:t xml:space="preserve"> “Periodicamente, a sociedade brasileira ensaia ‘escandalizar-se’ com algumas consequências da dominação financeira, como, por exemplo, os lucros e as margens do sistema bancário, mas pouco se faz efetivamente para alterar o preço da intermediação financeira. Seguindo essa lógica, poderíamos dizer que os protestos </w:t>
      </w:r>
      <w:proofErr w:type="spellStart"/>
      <w:r w:rsidRPr="0096030C">
        <w:rPr>
          <w:rFonts w:ascii="Verdana" w:hAnsi="Verdana"/>
          <w:sz w:val="18"/>
          <w:szCs w:val="18"/>
        </w:rPr>
        <w:t>antifinanceiros</w:t>
      </w:r>
      <w:proofErr w:type="spellEnd"/>
      <w:r w:rsidRPr="0096030C">
        <w:rPr>
          <w:rFonts w:ascii="Verdana" w:hAnsi="Verdana"/>
          <w:sz w:val="18"/>
          <w:szCs w:val="18"/>
        </w:rPr>
        <w:t xml:space="preserve"> são produzidos por uma coalizão de empresários, sindicalistas e intelectuais tradicionais que se insurgem contra o que consideram ser o maior impedimento ao desenvolvimento econômico do país. Mas eles são neutralizados pelos empreendedores morais da ‘causa financeira’ – economistas </w:t>
      </w:r>
      <w:proofErr w:type="spellStart"/>
      <w:r w:rsidRPr="0096030C">
        <w:rPr>
          <w:rFonts w:ascii="Verdana" w:hAnsi="Verdana"/>
          <w:i/>
          <w:sz w:val="18"/>
          <w:szCs w:val="18"/>
        </w:rPr>
        <w:t>mainstreamers</w:t>
      </w:r>
      <w:proofErr w:type="spellEnd"/>
      <w:r w:rsidRPr="0096030C">
        <w:rPr>
          <w:rFonts w:ascii="Verdana" w:hAnsi="Verdana"/>
          <w:sz w:val="18"/>
          <w:szCs w:val="18"/>
        </w:rPr>
        <w:t xml:space="preserve"> e pelo </w:t>
      </w:r>
      <w:r w:rsidRPr="0096030C">
        <w:rPr>
          <w:rFonts w:ascii="Verdana" w:hAnsi="Verdana"/>
          <w:i/>
          <w:sz w:val="18"/>
          <w:szCs w:val="18"/>
        </w:rPr>
        <w:t>establishment</w:t>
      </w:r>
      <w:r w:rsidRPr="0096030C">
        <w:rPr>
          <w:rFonts w:ascii="Verdana" w:hAnsi="Verdana"/>
          <w:sz w:val="18"/>
          <w:szCs w:val="18"/>
        </w:rPr>
        <w:t xml:space="preserve"> –, que os ridicularizam, esvaindo qualquer possibilidade de protesto mais eficiente”. </w:t>
      </w:r>
      <w:r w:rsidRPr="0096030C">
        <w:rPr>
          <w:rStyle w:val="Hiperlink"/>
          <w:rFonts w:ascii="Verdana" w:hAnsi="Verdana"/>
          <w:color w:val="auto"/>
          <w:sz w:val="18"/>
          <w:szCs w:val="18"/>
          <w:u w:val="none"/>
        </w:rPr>
        <w:t xml:space="preserve">GRUN, R. “Entre a plutocracia e a legitimação da dominação financeira”. </w:t>
      </w:r>
      <w:r w:rsidRPr="0096030C">
        <w:rPr>
          <w:rStyle w:val="Hiperlink"/>
          <w:rFonts w:ascii="Verdana" w:hAnsi="Verdana"/>
          <w:i/>
          <w:iCs/>
          <w:color w:val="auto"/>
          <w:sz w:val="18"/>
          <w:szCs w:val="18"/>
          <w:u w:val="none"/>
        </w:rPr>
        <w:t>Revista Brasileira de Ciências Sociais,</w:t>
      </w:r>
      <w:r w:rsidRPr="0096030C">
        <w:rPr>
          <w:rStyle w:val="Hiperlink"/>
          <w:rFonts w:ascii="Verdana" w:hAnsi="Verdana"/>
          <w:color w:val="auto"/>
          <w:sz w:val="18"/>
          <w:szCs w:val="18"/>
          <w:u w:val="none"/>
        </w:rPr>
        <w:t xml:space="preserve"> vol. 22, n. 65, 2007, p. 85-107. Disponível em: &lt;</w:t>
      </w:r>
      <w:r w:rsidRPr="0096030C">
        <w:rPr>
          <w:rFonts w:ascii="Verdana" w:hAnsi="Verdana"/>
          <w:sz w:val="18"/>
          <w:szCs w:val="18"/>
        </w:rPr>
        <w:t xml:space="preserve"> </w:t>
      </w:r>
      <w:r w:rsidRPr="0096030C">
        <w:rPr>
          <w:rStyle w:val="Hiperlink"/>
          <w:rFonts w:ascii="Verdana" w:hAnsi="Verdana"/>
          <w:color w:val="auto"/>
          <w:sz w:val="18"/>
          <w:szCs w:val="18"/>
          <w:u w:val="none"/>
        </w:rPr>
        <w:t>http://www.redalyc.org/articulo.oa?id=10706508&gt;. Acesso em: 10 dez. 2020.</w:t>
      </w:r>
    </w:p>
  </w:footnote>
  <w:footnote w:id="55">
    <w:p w14:paraId="58BC091A" w14:textId="77777777" w:rsidR="007D698A" w:rsidRPr="0096030C" w:rsidRDefault="007D698A" w:rsidP="0096030C">
      <w:pPr>
        <w:pStyle w:val="SemEspaamento"/>
        <w:jc w:val="both"/>
        <w:rPr>
          <w:rFonts w:ascii="Verdana" w:hAnsi="Verdana"/>
          <w:sz w:val="18"/>
          <w:szCs w:val="18"/>
        </w:rPr>
      </w:pPr>
      <w:r w:rsidRPr="0096030C">
        <w:rPr>
          <w:rStyle w:val="Refdenotaderodap"/>
          <w:rFonts w:ascii="Verdana" w:hAnsi="Verdana"/>
          <w:sz w:val="18"/>
          <w:szCs w:val="18"/>
        </w:rPr>
        <w:footnoteRef/>
      </w:r>
      <w:r w:rsidRPr="0096030C">
        <w:rPr>
          <w:rFonts w:ascii="Verdana" w:hAnsi="Verdana"/>
          <w:sz w:val="18"/>
          <w:szCs w:val="18"/>
        </w:rPr>
        <w:t xml:space="preserve"> FERRAJOLI, L. </w:t>
      </w:r>
      <w:r w:rsidRPr="0096030C">
        <w:rPr>
          <w:rFonts w:ascii="Verdana" w:hAnsi="Verdana"/>
          <w:bCs/>
          <w:i/>
          <w:iCs/>
          <w:sz w:val="18"/>
          <w:szCs w:val="18"/>
        </w:rPr>
        <w:t>A Democracia através dos Direitos</w:t>
      </w:r>
      <w:r w:rsidRPr="0096030C">
        <w:rPr>
          <w:rFonts w:ascii="Verdana" w:hAnsi="Verdana"/>
          <w:b/>
          <w:i/>
          <w:iCs/>
          <w:sz w:val="18"/>
          <w:szCs w:val="18"/>
        </w:rPr>
        <w:t>:</w:t>
      </w:r>
      <w:r w:rsidRPr="0096030C">
        <w:rPr>
          <w:rFonts w:ascii="Verdana" w:hAnsi="Verdana"/>
          <w:i/>
          <w:iCs/>
          <w:sz w:val="18"/>
          <w:szCs w:val="18"/>
        </w:rPr>
        <w:t xml:space="preserve"> o constitucionalismo </w:t>
      </w:r>
      <w:proofErr w:type="spellStart"/>
      <w:r w:rsidRPr="0096030C">
        <w:rPr>
          <w:rFonts w:ascii="Verdana" w:hAnsi="Verdana"/>
          <w:i/>
          <w:iCs/>
          <w:sz w:val="18"/>
          <w:szCs w:val="18"/>
        </w:rPr>
        <w:t>garantista</w:t>
      </w:r>
      <w:proofErr w:type="spellEnd"/>
      <w:r w:rsidRPr="0096030C">
        <w:rPr>
          <w:rFonts w:ascii="Verdana" w:hAnsi="Verdana"/>
          <w:i/>
          <w:iCs/>
          <w:sz w:val="18"/>
          <w:szCs w:val="18"/>
        </w:rPr>
        <w:t xml:space="preserve"> como modelo teórico e como projeto político</w:t>
      </w:r>
      <w:r w:rsidRPr="0096030C">
        <w:rPr>
          <w:rFonts w:ascii="Verdana" w:hAnsi="Verdana"/>
          <w:sz w:val="18"/>
          <w:szCs w:val="18"/>
        </w:rPr>
        <w:t>, Revista dos Tribunais, São Paulo, 2015, p. 158.</w:t>
      </w:r>
    </w:p>
  </w:footnote>
  <w:footnote w:id="56">
    <w:p w14:paraId="40B60782" w14:textId="77777777" w:rsidR="007D698A" w:rsidRPr="0096030C" w:rsidRDefault="007D698A" w:rsidP="0096030C">
      <w:pPr>
        <w:spacing w:after="0" w:line="240" w:lineRule="auto"/>
        <w:jc w:val="both"/>
        <w:rPr>
          <w:rFonts w:ascii="Verdana" w:hAnsi="Verdana"/>
          <w:sz w:val="18"/>
          <w:szCs w:val="18"/>
        </w:rPr>
      </w:pPr>
      <w:r w:rsidRPr="0096030C">
        <w:rPr>
          <w:rStyle w:val="Refdenotaderodap"/>
          <w:rFonts w:ascii="Verdana" w:hAnsi="Verdana"/>
          <w:sz w:val="18"/>
          <w:szCs w:val="18"/>
        </w:rPr>
        <w:footnoteRef/>
      </w:r>
      <w:r w:rsidRPr="0096030C">
        <w:rPr>
          <w:rFonts w:ascii="Verdana" w:hAnsi="Verdana"/>
          <w:sz w:val="18"/>
          <w:szCs w:val="18"/>
        </w:rPr>
        <w:t xml:space="preserve"> SASSEN, S</w:t>
      </w:r>
      <w:r w:rsidRPr="0096030C">
        <w:rPr>
          <w:rFonts w:ascii="Verdana" w:hAnsi="Verdana"/>
          <w:i/>
          <w:iCs/>
          <w:sz w:val="18"/>
          <w:szCs w:val="18"/>
        </w:rPr>
        <w:t xml:space="preserve">. </w:t>
      </w:r>
      <w:r w:rsidRPr="0096030C">
        <w:rPr>
          <w:rFonts w:ascii="Verdana" w:hAnsi="Verdana"/>
          <w:bCs/>
          <w:i/>
          <w:iCs/>
          <w:sz w:val="18"/>
          <w:szCs w:val="18"/>
        </w:rPr>
        <w:t>Expulsões</w:t>
      </w:r>
      <w:r w:rsidRPr="0096030C">
        <w:rPr>
          <w:rFonts w:ascii="Verdana" w:hAnsi="Verdana"/>
          <w:i/>
          <w:iCs/>
          <w:sz w:val="18"/>
          <w:szCs w:val="18"/>
        </w:rPr>
        <w:t>: Brutalidade e complexidade na economia global</w:t>
      </w:r>
      <w:r w:rsidRPr="0096030C">
        <w:rPr>
          <w:rFonts w:ascii="Verdana" w:hAnsi="Verdana"/>
          <w:sz w:val="18"/>
          <w:szCs w:val="18"/>
        </w:rPr>
        <w:t>. Trad. FREITAS, A., Paz e Terra, São Paulo, 2016, p. 252.</w:t>
      </w:r>
    </w:p>
  </w:footnote>
  <w:footnote w:id="57">
    <w:p w14:paraId="224AD0A2" w14:textId="77777777" w:rsidR="007D698A" w:rsidRPr="0096030C" w:rsidRDefault="007D698A" w:rsidP="0096030C">
      <w:pPr>
        <w:spacing w:after="0" w:line="240" w:lineRule="auto"/>
        <w:jc w:val="both"/>
        <w:rPr>
          <w:rFonts w:ascii="Verdana" w:hAnsi="Verdana"/>
          <w:sz w:val="18"/>
          <w:szCs w:val="18"/>
        </w:rPr>
      </w:pPr>
      <w:r w:rsidRPr="0096030C">
        <w:rPr>
          <w:rStyle w:val="Refdenotaderodap"/>
          <w:rFonts w:ascii="Verdana" w:hAnsi="Verdana"/>
          <w:sz w:val="18"/>
          <w:szCs w:val="18"/>
        </w:rPr>
        <w:footnoteRef/>
      </w:r>
      <w:r w:rsidRPr="0096030C">
        <w:rPr>
          <w:rFonts w:ascii="Verdana" w:hAnsi="Verdana"/>
          <w:sz w:val="18"/>
          <w:szCs w:val="18"/>
        </w:rPr>
        <w:t xml:space="preserve"> SASSEN, S</w:t>
      </w:r>
      <w:r w:rsidRPr="0096030C">
        <w:rPr>
          <w:rFonts w:ascii="Verdana" w:hAnsi="Verdana"/>
          <w:i/>
          <w:iCs/>
          <w:sz w:val="18"/>
          <w:szCs w:val="18"/>
        </w:rPr>
        <w:t xml:space="preserve">. </w:t>
      </w:r>
      <w:r w:rsidRPr="0096030C">
        <w:rPr>
          <w:rFonts w:ascii="Verdana" w:hAnsi="Verdana"/>
          <w:bCs/>
          <w:i/>
          <w:iCs/>
          <w:sz w:val="18"/>
          <w:szCs w:val="18"/>
        </w:rPr>
        <w:t>Expulsões</w:t>
      </w:r>
      <w:r w:rsidRPr="0096030C">
        <w:rPr>
          <w:rFonts w:ascii="Verdana" w:hAnsi="Verdana"/>
          <w:i/>
          <w:iCs/>
          <w:sz w:val="18"/>
          <w:szCs w:val="18"/>
        </w:rPr>
        <w:t>: Brutalidade e complexidade na economia global</w:t>
      </w:r>
      <w:r w:rsidRPr="0096030C">
        <w:rPr>
          <w:rFonts w:ascii="Verdana" w:hAnsi="Verdana"/>
          <w:sz w:val="18"/>
          <w:szCs w:val="18"/>
        </w:rPr>
        <w:t>. Trad. FREITAS, A., Paz e Terra, São Paulo, 2016, p. 253.</w:t>
      </w:r>
    </w:p>
  </w:footnote>
  <w:footnote w:id="58">
    <w:p w14:paraId="2B32987E" w14:textId="77777777" w:rsidR="007D698A" w:rsidRPr="0096030C" w:rsidRDefault="007D698A" w:rsidP="0096030C">
      <w:pPr>
        <w:spacing w:after="0" w:line="240" w:lineRule="auto"/>
        <w:jc w:val="both"/>
        <w:rPr>
          <w:rFonts w:ascii="Verdana" w:hAnsi="Verdana"/>
          <w:sz w:val="18"/>
          <w:szCs w:val="18"/>
        </w:rPr>
      </w:pPr>
      <w:r w:rsidRPr="0096030C">
        <w:rPr>
          <w:rStyle w:val="Refdenotaderodap"/>
          <w:rFonts w:ascii="Verdana" w:hAnsi="Verdana"/>
          <w:sz w:val="18"/>
          <w:szCs w:val="18"/>
        </w:rPr>
        <w:footnoteRef/>
      </w:r>
      <w:r w:rsidRPr="0096030C">
        <w:rPr>
          <w:rFonts w:ascii="Verdana" w:hAnsi="Verdana"/>
          <w:sz w:val="18"/>
          <w:szCs w:val="18"/>
        </w:rPr>
        <w:t xml:space="preserve"> SASSEN, S</w:t>
      </w:r>
      <w:r w:rsidRPr="0096030C">
        <w:rPr>
          <w:rFonts w:ascii="Verdana" w:hAnsi="Verdana"/>
          <w:i/>
          <w:iCs/>
          <w:sz w:val="18"/>
          <w:szCs w:val="18"/>
        </w:rPr>
        <w:t xml:space="preserve">. </w:t>
      </w:r>
      <w:r w:rsidRPr="0096030C">
        <w:rPr>
          <w:rFonts w:ascii="Verdana" w:hAnsi="Verdana"/>
          <w:bCs/>
          <w:i/>
          <w:iCs/>
          <w:sz w:val="18"/>
          <w:szCs w:val="18"/>
        </w:rPr>
        <w:t>Expulsões</w:t>
      </w:r>
      <w:r w:rsidRPr="0096030C">
        <w:rPr>
          <w:rFonts w:ascii="Verdana" w:hAnsi="Verdana"/>
          <w:i/>
          <w:iCs/>
          <w:sz w:val="18"/>
          <w:szCs w:val="18"/>
        </w:rPr>
        <w:t>: Brutalidade e complexidade na economia global</w:t>
      </w:r>
      <w:r w:rsidRPr="0096030C">
        <w:rPr>
          <w:rFonts w:ascii="Verdana" w:hAnsi="Verdana"/>
          <w:sz w:val="18"/>
          <w:szCs w:val="18"/>
        </w:rPr>
        <w:t>. Trad. FREITAS, A., Paz e Terra, São Paulo, 2016, p. 253.</w:t>
      </w:r>
    </w:p>
  </w:footnote>
  <w:footnote w:id="59">
    <w:p w14:paraId="4F10D1BF" w14:textId="77777777" w:rsidR="007D698A" w:rsidRPr="0096030C" w:rsidRDefault="007D698A" w:rsidP="0096030C">
      <w:pPr>
        <w:spacing w:after="0" w:line="240" w:lineRule="auto"/>
        <w:jc w:val="both"/>
        <w:rPr>
          <w:rFonts w:ascii="Verdana" w:hAnsi="Verdana"/>
          <w:sz w:val="18"/>
          <w:szCs w:val="18"/>
        </w:rPr>
      </w:pPr>
      <w:r w:rsidRPr="0096030C">
        <w:rPr>
          <w:rStyle w:val="Refdenotaderodap"/>
          <w:rFonts w:ascii="Verdana" w:hAnsi="Verdana"/>
          <w:sz w:val="18"/>
          <w:szCs w:val="18"/>
        </w:rPr>
        <w:footnoteRef/>
      </w:r>
      <w:r w:rsidRPr="0096030C">
        <w:rPr>
          <w:rFonts w:ascii="Verdana" w:hAnsi="Verdana"/>
          <w:sz w:val="18"/>
          <w:szCs w:val="18"/>
        </w:rPr>
        <w:t xml:space="preserve"> FERRAJOLI, L. </w:t>
      </w:r>
      <w:r w:rsidRPr="0096030C">
        <w:rPr>
          <w:rFonts w:ascii="Verdana" w:hAnsi="Verdana"/>
          <w:bCs/>
          <w:i/>
          <w:iCs/>
          <w:sz w:val="18"/>
          <w:szCs w:val="18"/>
        </w:rPr>
        <w:t>A Democracia através dos Direitos</w:t>
      </w:r>
      <w:r w:rsidRPr="0096030C">
        <w:rPr>
          <w:rFonts w:ascii="Verdana" w:hAnsi="Verdana"/>
          <w:b/>
          <w:i/>
          <w:iCs/>
          <w:sz w:val="18"/>
          <w:szCs w:val="18"/>
        </w:rPr>
        <w:t>:</w:t>
      </w:r>
      <w:r w:rsidRPr="0096030C">
        <w:rPr>
          <w:rFonts w:ascii="Verdana" w:hAnsi="Verdana"/>
          <w:i/>
          <w:iCs/>
          <w:sz w:val="18"/>
          <w:szCs w:val="18"/>
        </w:rPr>
        <w:t xml:space="preserve"> o constitucionalismo </w:t>
      </w:r>
      <w:proofErr w:type="spellStart"/>
      <w:r w:rsidRPr="0096030C">
        <w:rPr>
          <w:rFonts w:ascii="Verdana" w:hAnsi="Verdana"/>
          <w:i/>
          <w:iCs/>
          <w:sz w:val="18"/>
          <w:szCs w:val="18"/>
        </w:rPr>
        <w:t>garantista</w:t>
      </w:r>
      <w:proofErr w:type="spellEnd"/>
      <w:r w:rsidRPr="0096030C">
        <w:rPr>
          <w:rFonts w:ascii="Verdana" w:hAnsi="Verdana"/>
          <w:i/>
          <w:iCs/>
          <w:sz w:val="18"/>
          <w:szCs w:val="18"/>
        </w:rPr>
        <w:t xml:space="preserve"> como modelo teórico e como projeto político</w:t>
      </w:r>
      <w:r w:rsidRPr="0096030C">
        <w:rPr>
          <w:rFonts w:ascii="Verdana" w:hAnsi="Verdana"/>
          <w:sz w:val="18"/>
          <w:szCs w:val="18"/>
        </w:rPr>
        <w:t>, Revista dos Tribunais, São Paulo, 2015, p. 163.</w:t>
      </w:r>
    </w:p>
  </w:footnote>
  <w:footnote w:id="60">
    <w:p w14:paraId="534B5A29" w14:textId="77777777" w:rsidR="007D698A" w:rsidRPr="0096030C" w:rsidRDefault="007D698A" w:rsidP="0096030C">
      <w:pPr>
        <w:spacing w:after="0" w:line="240" w:lineRule="auto"/>
        <w:jc w:val="both"/>
        <w:rPr>
          <w:rFonts w:ascii="Verdana" w:hAnsi="Verdana"/>
          <w:sz w:val="18"/>
          <w:szCs w:val="18"/>
        </w:rPr>
      </w:pPr>
      <w:r w:rsidRPr="0096030C">
        <w:rPr>
          <w:rStyle w:val="Refdenotaderodap"/>
          <w:rFonts w:ascii="Verdana" w:hAnsi="Verdana"/>
          <w:sz w:val="18"/>
          <w:szCs w:val="18"/>
        </w:rPr>
        <w:footnoteRef/>
      </w:r>
      <w:r w:rsidRPr="0096030C">
        <w:rPr>
          <w:rFonts w:ascii="Verdana" w:hAnsi="Verdana"/>
          <w:sz w:val="18"/>
          <w:szCs w:val="18"/>
        </w:rPr>
        <w:t xml:space="preserve"> Nas últimas eleições brasileiras, no ano de 2018, por exemplo, dados do Tribunal Superior Eleitoral revelam uma elevada taxa de abstenção dos eleitores, totalizando 31,3 milhões de cidadãos que não compareceram às urnas para votar. O segundo turno das eleições presidenciais teve a maior abstenção já registrada desde 1998, representando 21,3% do eleitorado brasileiro. Vale notar que esse número corresponde a mais da metade dos votos recebidos pelo candidato eleito, Jair Bolsonaro. </w:t>
      </w:r>
      <w:r w:rsidRPr="0096030C">
        <w:rPr>
          <w:rStyle w:val="Hiperlink"/>
          <w:rFonts w:ascii="Verdana" w:hAnsi="Verdana"/>
          <w:color w:val="auto"/>
          <w:sz w:val="18"/>
          <w:szCs w:val="18"/>
          <w:u w:val="none"/>
        </w:rPr>
        <w:t xml:space="preserve">BRASIL. Senado Federal. </w:t>
      </w:r>
      <w:r w:rsidRPr="0096030C">
        <w:rPr>
          <w:rStyle w:val="Hiperlink"/>
          <w:rFonts w:ascii="Verdana" w:hAnsi="Verdana"/>
          <w:bCs/>
          <w:i/>
          <w:iCs/>
          <w:color w:val="auto"/>
          <w:sz w:val="18"/>
          <w:szCs w:val="18"/>
          <w:u w:val="none"/>
        </w:rPr>
        <w:t>Abstenção nas eleições</w:t>
      </w:r>
      <w:r w:rsidRPr="0096030C">
        <w:rPr>
          <w:rStyle w:val="Hiperlink"/>
          <w:rFonts w:ascii="Verdana" w:hAnsi="Verdana"/>
          <w:color w:val="auto"/>
          <w:sz w:val="18"/>
          <w:szCs w:val="18"/>
          <w:u w:val="none"/>
        </w:rPr>
        <w:t>: 31,3 milhões de eleitores não compareceram às urnas. Disponível em:</w:t>
      </w:r>
      <w:r w:rsidRPr="0096030C">
        <w:rPr>
          <w:rFonts w:ascii="Verdana" w:hAnsi="Verdana"/>
          <w:sz w:val="18"/>
          <w:szCs w:val="18"/>
        </w:rPr>
        <w:t xml:space="preserve"> &lt;</w:t>
      </w:r>
      <w:r w:rsidRPr="0096030C">
        <w:rPr>
          <w:rStyle w:val="Hiperlink"/>
          <w:rFonts w:ascii="Verdana" w:hAnsi="Verdana"/>
          <w:color w:val="auto"/>
          <w:sz w:val="18"/>
          <w:szCs w:val="18"/>
          <w:u w:val="none"/>
        </w:rPr>
        <w:t>https://www12.senado.leg.br/noticias/videos /2018/10/abstencao-nas-eleicoes-31-3-milhoes-de-eleitores-nao-compareceram-as-urnas&gt;. Acesso em: 08 dez. 2020.</w:t>
      </w:r>
    </w:p>
  </w:footnote>
  <w:footnote w:id="61">
    <w:p w14:paraId="0CCEC591" w14:textId="77777777" w:rsidR="007D698A" w:rsidRPr="0096030C" w:rsidRDefault="007D698A" w:rsidP="0096030C">
      <w:pPr>
        <w:pStyle w:val="SemEspaamento"/>
        <w:jc w:val="both"/>
        <w:rPr>
          <w:rFonts w:ascii="Verdana" w:hAnsi="Verdana"/>
          <w:sz w:val="18"/>
          <w:szCs w:val="18"/>
        </w:rPr>
      </w:pPr>
      <w:r w:rsidRPr="0096030C">
        <w:rPr>
          <w:rStyle w:val="Refdenotaderodap"/>
          <w:rFonts w:ascii="Verdana" w:hAnsi="Verdana"/>
          <w:sz w:val="18"/>
          <w:szCs w:val="18"/>
        </w:rPr>
        <w:footnoteRef/>
      </w:r>
      <w:r w:rsidRPr="0096030C">
        <w:rPr>
          <w:rFonts w:ascii="Verdana" w:hAnsi="Verdana"/>
          <w:sz w:val="18"/>
          <w:szCs w:val="18"/>
        </w:rPr>
        <w:t xml:space="preserve"> FERRAJOLI, L. </w:t>
      </w:r>
      <w:r w:rsidRPr="0096030C">
        <w:rPr>
          <w:rFonts w:ascii="Verdana" w:hAnsi="Verdana"/>
          <w:bCs/>
          <w:i/>
          <w:iCs/>
          <w:sz w:val="18"/>
          <w:szCs w:val="18"/>
        </w:rPr>
        <w:t>A Democracia através dos Direitos</w:t>
      </w:r>
      <w:r w:rsidRPr="0096030C">
        <w:rPr>
          <w:rFonts w:ascii="Verdana" w:hAnsi="Verdana"/>
          <w:b/>
          <w:i/>
          <w:iCs/>
          <w:sz w:val="18"/>
          <w:szCs w:val="18"/>
        </w:rPr>
        <w:t>:</w:t>
      </w:r>
      <w:r w:rsidRPr="0096030C">
        <w:rPr>
          <w:rFonts w:ascii="Verdana" w:hAnsi="Verdana"/>
          <w:i/>
          <w:iCs/>
          <w:sz w:val="18"/>
          <w:szCs w:val="18"/>
        </w:rPr>
        <w:t xml:space="preserve"> o constitucionalismo </w:t>
      </w:r>
      <w:proofErr w:type="spellStart"/>
      <w:r w:rsidRPr="0096030C">
        <w:rPr>
          <w:rFonts w:ascii="Verdana" w:hAnsi="Verdana"/>
          <w:i/>
          <w:iCs/>
          <w:sz w:val="18"/>
          <w:szCs w:val="18"/>
        </w:rPr>
        <w:t>garantista</w:t>
      </w:r>
      <w:proofErr w:type="spellEnd"/>
      <w:r w:rsidRPr="0096030C">
        <w:rPr>
          <w:rFonts w:ascii="Verdana" w:hAnsi="Verdana"/>
          <w:i/>
          <w:iCs/>
          <w:sz w:val="18"/>
          <w:szCs w:val="18"/>
        </w:rPr>
        <w:t xml:space="preserve"> como modelo teórico e como projeto político</w:t>
      </w:r>
      <w:r w:rsidRPr="0096030C">
        <w:rPr>
          <w:rFonts w:ascii="Verdana" w:hAnsi="Verdana"/>
          <w:sz w:val="18"/>
          <w:szCs w:val="18"/>
        </w:rPr>
        <w:t>, Revista dos Tribunais, São Paulo, 2015, p. 179.</w:t>
      </w:r>
    </w:p>
  </w:footnote>
  <w:footnote w:id="62">
    <w:p w14:paraId="737E0A03" w14:textId="77777777" w:rsidR="007D698A" w:rsidRPr="0096030C" w:rsidRDefault="007D698A" w:rsidP="0096030C">
      <w:pPr>
        <w:pStyle w:val="Textodenotaderodap"/>
        <w:spacing w:after="0" w:line="240" w:lineRule="auto"/>
        <w:jc w:val="both"/>
        <w:rPr>
          <w:rFonts w:ascii="Verdana" w:hAnsi="Verdana"/>
          <w:sz w:val="18"/>
          <w:szCs w:val="18"/>
        </w:rPr>
      </w:pPr>
      <w:r w:rsidRPr="0096030C">
        <w:rPr>
          <w:rStyle w:val="Refdenotaderodap"/>
          <w:rFonts w:ascii="Verdana" w:hAnsi="Verdana"/>
          <w:sz w:val="18"/>
          <w:szCs w:val="18"/>
        </w:rPr>
        <w:footnoteRef/>
      </w:r>
      <w:r w:rsidRPr="0096030C">
        <w:rPr>
          <w:rFonts w:ascii="Verdana" w:hAnsi="Verdana"/>
          <w:sz w:val="18"/>
          <w:szCs w:val="18"/>
        </w:rPr>
        <w:t xml:space="preserve"> EXAME. Como regulamentar o lobby? O que diz um dos maiores especialistas no tema, 2019. Disponível em: &lt;https://exame.abril.com.br/brasil/como-regular-o-lobby-o-que-diz-um-dos-maiores-especialistas-no-tema/&gt;. Acesso em: 07 dez. 2020.</w:t>
      </w:r>
    </w:p>
  </w:footnote>
  <w:footnote w:id="63">
    <w:p w14:paraId="45531A16" w14:textId="77777777" w:rsidR="007D698A" w:rsidRPr="0096030C" w:rsidRDefault="007D698A" w:rsidP="0096030C">
      <w:pPr>
        <w:pStyle w:val="SemEspaamento"/>
        <w:jc w:val="both"/>
        <w:rPr>
          <w:rFonts w:ascii="Verdana" w:hAnsi="Verdana"/>
          <w:sz w:val="18"/>
          <w:szCs w:val="18"/>
        </w:rPr>
      </w:pPr>
      <w:r w:rsidRPr="0096030C">
        <w:rPr>
          <w:rStyle w:val="Refdenotaderodap"/>
          <w:rFonts w:ascii="Verdana" w:hAnsi="Verdana"/>
          <w:sz w:val="18"/>
          <w:szCs w:val="18"/>
        </w:rPr>
        <w:footnoteRef/>
      </w:r>
      <w:r w:rsidRPr="0096030C">
        <w:rPr>
          <w:rFonts w:ascii="Verdana" w:hAnsi="Verdana"/>
          <w:sz w:val="18"/>
          <w:szCs w:val="18"/>
        </w:rPr>
        <w:t xml:space="preserve"> </w:t>
      </w:r>
      <w:r w:rsidRPr="0096030C">
        <w:rPr>
          <w:rStyle w:val="Hiperlink"/>
          <w:rFonts w:ascii="Verdana" w:hAnsi="Verdana"/>
          <w:color w:val="auto"/>
          <w:sz w:val="18"/>
          <w:szCs w:val="18"/>
          <w:u w:val="none"/>
        </w:rPr>
        <w:t xml:space="preserve">STIGLITZ, Joseph E. </w:t>
      </w:r>
      <w:r w:rsidRPr="0096030C">
        <w:rPr>
          <w:rStyle w:val="Hiperlink"/>
          <w:rFonts w:ascii="Verdana" w:hAnsi="Verdana"/>
          <w:bCs/>
          <w:i/>
          <w:iCs/>
          <w:color w:val="auto"/>
          <w:sz w:val="18"/>
          <w:szCs w:val="18"/>
          <w:u w:val="none"/>
        </w:rPr>
        <w:t>O preço da desigualdade</w:t>
      </w:r>
      <w:r w:rsidRPr="0096030C">
        <w:rPr>
          <w:rStyle w:val="Hiperlink"/>
          <w:rFonts w:ascii="Verdana" w:hAnsi="Verdana"/>
          <w:color w:val="auto"/>
          <w:sz w:val="18"/>
          <w:szCs w:val="18"/>
          <w:u w:val="none"/>
        </w:rPr>
        <w:t>. Trad. PIRES, D., Bertrand, Lisboa, 2016, p. 208.</w:t>
      </w:r>
    </w:p>
  </w:footnote>
  <w:footnote w:id="64">
    <w:p w14:paraId="201CA7B8" w14:textId="77777777" w:rsidR="007D698A" w:rsidRPr="0096030C" w:rsidRDefault="007D698A" w:rsidP="0096030C">
      <w:pPr>
        <w:spacing w:after="0" w:line="240" w:lineRule="auto"/>
        <w:jc w:val="both"/>
        <w:rPr>
          <w:rFonts w:ascii="Verdana" w:hAnsi="Verdana"/>
          <w:sz w:val="18"/>
          <w:szCs w:val="18"/>
        </w:rPr>
      </w:pPr>
      <w:r w:rsidRPr="0096030C">
        <w:rPr>
          <w:rStyle w:val="Refdenotaderodap"/>
          <w:rFonts w:ascii="Verdana" w:hAnsi="Verdana"/>
          <w:sz w:val="18"/>
          <w:szCs w:val="18"/>
        </w:rPr>
        <w:footnoteRef/>
      </w:r>
      <w:r w:rsidRPr="0096030C">
        <w:rPr>
          <w:rFonts w:ascii="Verdana" w:hAnsi="Verdana"/>
          <w:sz w:val="18"/>
          <w:szCs w:val="18"/>
        </w:rPr>
        <w:t xml:space="preserve"> FERRAJOLI, L. </w:t>
      </w:r>
      <w:r w:rsidRPr="0096030C">
        <w:rPr>
          <w:rFonts w:ascii="Verdana" w:hAnsi="Verdana"/>
          <w:bCs/>
          <w:i/>
          <w:iCs/>
          <w:sz w:val="18"/>
          <w:szCs w:val="18"/>
        </w:rPr>
        <w:t>A Democracia através dos Direitos</w:t>
      </w:r>
      <w:r w:rsidRPr="0096030C">
        <w:rPr>
          <w:rFonts w:ascii="Verdana" w:hAnsi="Verdana"/>
          <w:b/>
          <w:i/>
          <w:iCs/>
          <w:sz w:val="18"/>
          <w:szCs w:val="18"/>
        </w:rPr>
        <w:t>:</w:t>
      </w:r>
      <w:r w:rsidRPr="0096030C">
        <w:rPr>
          <w:rFonts w:ascii="Verdana" w:hAnsi="Verdana"/>
          <w:i/>
          <w:iCs/>
          <w:sz w:val="18"/>
          <w:szCs w:val="18"/>
        </w:rPr>
        <w:t xml:space="preserve"> o constitucionalismo </w:t>
      </w:r>
      <w:proofErr w:type="spellStart"/>
      <w:r w:rsidRPr="0096030C">
        <w:rPr>
          <w:rFonts w:ascii="Verdana" w:hAnsi="Verdana"/>
          <w:i/>
          <w:iCs/>
          <w:sz w:val="18"/>
          <w:szCs w:val="18"/>
        </w:rPr>
        <w:t>garantista</w:t>
      </w:r>
      <w:proofErr w:type="spellEnd"/>
      <w:r w:rsidRPr="0096030C">
        <w:rPr>
          <w:rFonts w:ascii="Verdana" w:hAnsi="Verdana"/>
          <w:i/>
          <w:iCs/>
          <w:sz w:val="18"/>
          <w:szCs w:val="18"/>
        </w:rPr>
        <w:t xml:space="preserve"> como modelo teórico e como projeto político</w:t>
      </w:r>
      <w:r w:rsidRPr="0096030C">
        <w:rPr>
          <w:rFonts w:ascii="Verdana" w:hAnsi="Verdana"/>
          <w:sz w:val="18"/>
          <w:szCs w:val="18"/>
        </w:rPr>
        <w:t>, Revista dos Tribunais, São Paulo, 2015, p. 163.</w:t>
      </w:r>
    </w:p>
  </w:footnote>
  <w:footnote w:id="65">
    <w:p w14:paraId="065AFCA3" w14:textId="77777777" w:rsidR="007D698A" w:rsidRPr="0096030C" w:rsidRDefault="007D698A" w:rsidP="0096030C">
      <w:pPr>
        <w:spacing w:after="0" w:line="240" w:lineRule="auto"/>
        <w:jc w:val="both"/>
        <w:rPr>
          <w:rFonts w:ascii="Verdana" w:hAnsi="Verdana"/>
          <w:sz w:val="18"/>
          <w:szCs w:val="18"/>
        </w:rPr>
      </w:pPr>
      <w:r w:rsidRPr="0096030C">
        <w:rPr>
          <w:rStyle w:val="Refdenotaderodap"/>
          <w:rFonts w:ascii="Verdana" w:hAnsi="Verdana"/>
          <w:sz w:val="18"/>
          <w:szCs w:val="18"/>
        </w:rPr>
        <w:footnoteRef/>
      </w:r>
      <w:r w:rsidRPr="0096030C">
        <w:rPr>
          <w:rFonts w:ascii="Verdana" w:hAnsi="Verdana"/>
          <w:sz w:val="18"/>
          <w:szCs w:val="18"/>
        </w:rPr>
        <w:t xml:space="preserve"> </w:t>
      </w:r>
      <w:r w:rsidRPr="0096030C">
        <w:rPr>
          <w:rStyle w:val="Hiperlink"/>
          <w:rFonts w:ascii="Verdana" w:hAnsi="Verdana"/>
          <w:color w:val="auto"/>
          <w:sz w:val="18"/>
          <w:szCs w:val="18"/>
          <w:u w:val="none"/>
        </w:rPr>
        <w:t xml:space="preserve">RANCIÈRE, J. </w:t>
      </w:r>
      <w:r w:rsidRPr="0096030C">
        <w:rPr>
          <w:rStyle w:val="Hiperlink"/>
          <w:rFonts w:ascii="Verdana" w:hAnsi="Verdana"/>
          <w:bCs/>
          <w:i/>
          <w:iCs/>
          <w:color w:val="auto"/>
          <w:sz w:val="18"/>
          <w:szCs w:val="18"/>
          <w:u w:val="none"/>
        </w:rPr>
        <w:t>O ódio à Democracia</w:t>
      </w:r>
      <w:r w:rsidRPr="0096030C">
        <w:rPr>
          <w:rStyle w:val="Hiperlink"/>
          <w:rFonts w:ascii="Verdana" w:hAnsi="Verdana"/>
          <w:color w:val="auto"/>
          <w:sz w:val="18"/>
          <w:szCs w:val="18"/>
          <w:u w:val="none"/>
        </w:rPr>
        <w:t xml:space="preserve">, </w:t>
      </w:r>
      <w:proofErr w:type="spellStart"/>
      <w:r w:rsidRPr="0096030C">
        <w:rPr>
          <w:rStyle w:val="Hiperlink"/>
          <w:rFonts w:ascii="Verdana" w:hAnsi="Verdana"/>
          <w:color w:val="auto"/>
          <w:sz w:val="18"/>
          <w:szCs w:val="18"/>
          <w:u w:val="none"/>
        </w:rPr>
        <w:t>Boitempo</w:t>
      </w:r>
      <w:proofErr w:type="spellEnd"/>
      <w:r w:rsidRPr="0096030C">
        <w:rPr>
          <w:rStyle w:val="Hiperlink"/>
          <w:rFonts w:ascii="Verdana" w:hAnsi="Verdana"/>
          <w:color w:val="auto"/>
          <w:sz w:val="18"/>
          <w:szCs w:val="18"/>
          <w:u w:val="none"/>
        </w:rPr>
        <w:t>, São Paulo, 2014, p. 95.</w:t>
      </w:r>
    </w:p>
  </w:footnote>
  <w:footnote w:id="66">
    <w:p w14:paraId="6B9AB4EE" w14:textId="77777777" w:rsidR="007D698A" w:rsidRPr="0096030C" w:rsidRDefault="007D698A" w:rsidP="0096030C">
      <w:pPr>
        <w:pStyle w:val="SemEspaamento"/>
        <w:jc w:val="both"/>
        <w:rPr>
          <w:rFonts w:ascii="Verdana" w:hAnsi="Verdana"/>
          <w:sz w:val="18"/>
          <w:szCs w:val="18"/>
        </w:rPr>
      </w:pPr>
      <w:r w:rsidRPr="0096030C">
        <w:rPr>
          <w:rStyle w:val="Refdenotaderodap"/>
          <w:rFonts w:ascii="Verdana" w:hAnsi="Verdana"/>
          <w:sz w:val="18"/>
          <w:szCs w:val="18"/>
        </w:rPr>
        <w:footnoteRef/>
      </w:r>
      <w:r w:rsidRPr="0096030C">
        <w:rPr>
          <w:rFonts w:ascii="Verdana" w:hAnsi="Verdana"/>
          <w:sz w:val="18"/>
          <w:szCs w:val="18"/>
        </w:rPr>
        <w:t xml:space="preserve"> BOBBIO, N.; MATTEUCCI, N.; PASQUINO, G. </w:t>
      </w:r>
      <w:r w:rsidRPr="0096030C">
        <w:rPr>
          <w:rFonts w:ascii="Verdana" w:hAnsi="Verdana"/>
          <w:bCs/>
          <w:i/>
          <w:iCs/>
          <w:sz w:val="18"/>
          <w:szCs w:val="18"/>
        </w:rPr>
        <w:t>Dicionário de Política</w:t>
      </w:r>
      <w:r w:rsidRPr="0096030C">
        <w:rPr>
          <w:rFonts w:ascii="Verdana" w:hAnsi="Verdana"/>
          <w:sz w:val="18"/>
          <w:szCs w:val="18"/>
        </w:rPr>
        <w:t>. 11. ed., Ed. Universidade de Brasília, Brasília, 1998, p. 855.</w:t>
      </w:r>
    </w:p>
  </w:footnote>
  <w:footnote w:id="67">
    <w:p w14:paraId="291C05C0" w14:textId="77777777" w:rsidR="007D698A" w:rsidRPr="0096030C" w:rsidRDefault="007D698A" w:rsidP="0096030C">
      <w:pPr>
        <w:pStyle w:val="SemEspaamento"/>
        <w:jc w:val="both"/>
        <w:rPr>
          <w:rFonts w:ascii="Verdana" w:hAnsi="Verdana"/>
          <w:sz w:val="18"/>
          <w:szCs w:val="18"/>
        </w:rPr>
      </w:pPr>
      <w:r w:rsidRPr="0096030C">
        <w:rPr>
          <w:rStyle w:val="Refdenotaderodap"/>
          <w:rFonts w:ascii="Verdana" w:hAnsi="Verdana"/>
          <w:sz w:val="18"/>
          <w:szCs w:val="18"/>
        </w:rPr>
        <w:footnoteRef/>
      </w:r>
      <w:r w:rsidRPr="0096030C">
        <w:rPr>
          <w:rFonts w:ascii="Verdana" w:hAnsi="Verdana"/>
          <w:sz w:val="18"/>
          <w:szCs w:val="18"/>
        </w:rPr>
        <w:t xml:space="preserve"> BOBBIO, N.; MATTEUCCI, N.; PASQUINO, G. </w:t>
      </w:r>
      <w:r w:rsidRPr="0096030C">
        <w:rPr>
          <w:rFonts w:ascii="Verdana" w:hAnsi="Verdana"/>
          <w:bCs/>
          <w:i/>
          <w:iCs/>
          <w:sz w:val="18"/>
          <w:szCs w:val="18"/>
        </w:rPr>
        <w:t>Dicionário de Política</w:t>
      </w:r>
      <w:r w:rsidRPr="0096030C">
        <w:rPr>
          <w:rFonts w:ascii="Verdana" w:hAnsi="Verdana"/>
          <w:sz w:val="18"/>
          <w:szCs w:val="18"/>
        </w:rPr>
        <w:t>. 11. ed., Ed. Universidade de Brasília, Brasília, 1998, p. 857.</w:t>
      </w:r>
    </w:p>
  </w:footnote>
  <w:footnote w:id="68">
    <w:p w14:paraId="331550D2" w14:textId="77777777" w:rsidR="007D698A" w:rsidRPr="0096030C" w:rsidRDefault="007D698A" w:rsidP="0096030C">
      <w:pPr>
        <w:pStyle w:val="SemEspaamento"/>
        <w:jc w:val="both"/>
        <w:rPr>
          <w:rFonts w:ascii="Verdana" w:hAnsi="Verdana"/>
          <w:sz w:val="18"/>
          <w:szCs w:val="18"/>
        </w:rPr>
      </w:pPr>
      <w:r w:rsidRPr="0096030C">
        <w:rPr>
          <w:rStyle w:val="Refdenotaderodap"/>
          <w:rFonts w:ascii="Verdana" w:hAnsi="Verdana"/>
          <w:sz w:val="18"/>
          <w:szCs w:val="18"/>
        </w:rPr>
        <w:footnoteRef/>
      </w:r>
      <w:r w:rsidRPr="0096030C">
        <w:rPr>
          <w:rFonts w:ascii="Verdana" w:hAnsi="Verdana"/>
          <w:sz w:val="18"/>
          <w:szCs w:val="18"/>
        </w:rPr>
        <w:t xml:space="preserve"> “Historicamente, a </w:t>
      </w:r>
      <w:proofErr w:type="spellStart"/>
      <w:r w:rsidRPr="0096030C">
        <w:rPr>
          <w:rFonts w:ascii="Verdana" w:hAnsi="Verdana"/>
          <w:sz w:val="18"/>
          <w:szCs w:val="18"/>
        </w:rPr>
        <w:t>poliarquia</w:t>
      </w:r>
      <w:proofErr w:type="spellEnd"/>
      <w:r w:rsidRPr="0096030C">
        <w:rPr>
          <w:rFonts w:ascii="Verdana" w:hAnsi="Verdana"/>
          <w:sz w:val="18"/>
          <w:szCs w:val="18"/>
        </w:rPr>
        <w:t xml:space="preserve"> é fortemente associada a uma sociedade marcada por uma série de características inter-relacionadas: um nível relativamente alto de crescimento e de renda e riqueza per capita, um alto nível de urbanização, uma população agrícola em rápido declínio ou relativamente pequena, uma grande diversidade ocupacional, ampla alfabetização, um número comparativamente grande de pessoas que frequentaram instituições de ensino superior, uma ordem econômica na qual a produção é desenvolvida principalmente por empresas relativamente autônomas e cujas decisões são orientadas para mercados nacionais e internacionais em níveis relativamente altos de indicadores convencionais de bem-estar, como médicos e leitos hospitalares para cada mil pessoas, a expectativa de vida, a mortalidade infantil, a porcentagem de famílias com diversos bens de consumo duráveis e assim por diante”. DAHL, R. </w:t>
      </w:r>
      <w:r w:rsidRPr="0096030C">
        <w:rPr>
          <w:rFonts w:ascii="Verdana" w:hAnsi="Verdana"/>
          <w:i/>
          <w:iCs/>
          <w:sz w:val="18"/>
          <w:szCs w:val="18"/>
        </w:rPr>
        <w:t>A democracia e seus críticos</w:t>
      </w:r>
      <w:r w:rsidRPr="0096030C">
        <w:rPr>
          <w:rFonts w:ascii="Verdana" w:hAnsi="Verdana"/>
          <w:sz w:val="18"/>
          <w:szCs w:val="18"/>
        </w:rPr>
        <w:t>. Trad. FREITAS RIBEIRO, Patrícia, Martins Fontes, São Paulo, 2012, p. 394.</w:t>
      </w:r>
    </w:p>
  </w:footnote>
  <w:footnote w:id="69">
    <w:p w14:paraId="53CA595C" w14:textId="77777777" w:rsidR="007D698A" w:rsidRPr="0096030C" w:rsidRDefault="007D698A" w:rsidP="0096030C">
      <w:pPr>
        <w:pStyle w:val="SemEspaamento"/>
        <w:jc w:val="both"/>
        <w:rPr>
          <w:rFonts w:ascii="Verdana" w:hAnsi="Verdana"/>
          <w:sz w:val="18"/>
          <w:szCs w:val="18"/>
        </w:rPr>
      </w:pPr>
      <w:r w:rsidRPr="0096030C">
        <w:rPr>
          <w:rStyle w:val="Refdenotaderodap"/>
          <w:rFonts w:ascii="Verdana" w:hAnsi="Verdana"/>
          <w:sz w:val="18"/>
          <w:szCs w:val="18"/>
        </w:rPr>
        <w:footnoteRef/>
      </w:r>
      <w:r w:rsidRPr="0096030C">
        <w:rPr>
          <w:rFonts w:ascii="Verdana" w:hAnsi="Verdana"/>
          <w:sz w:val="18"/>
          <w:szCs w:val="18"/>
        </w:rPr>
        <w:t xml:space="preserve"> DAHL, R. </w:t>
      </w:r>
      <w:r w:rsidRPr="0096030C">
        <w:rPr>
          <w:rFonts w:ascii="Verdana" w:hAnsi="Verdana"/>
          <w:i/>
          <w:iCs/>
          <w:sz w:val="18"/>
          <w:szCs w:val="18"/>
        </w:rPr>
        <w:t>A democracia e seus críticos</w:t>
      </w:r>
      <w:r w:rsidRPr="0096030C">
        <w:rPr>
          <w:rFonts w:ascii="Verdana" w:hAnsi="Verdana"/>
          <w:sz w:val="18"/>
          <w:szCs w:val="18"/>
        </w:rPr>
        <w:t>. Trad. FREITAS RIBEIRO, Patrícia, Martins Fontes, São Paulo, 2012, p. 358.</w:t>
      </w:r>
    </w:p>
  </w:footnote>
  <w:footnote w:id="70">
    <w:p w14:paraId="14D30CCB" w14:textId="77777777" w:rsidR="007D698A" w:rsidRPr="0096030C" w:rsidRDefault="007D698A" w:rsidP="0096030C">
      <w:pPr>
        <w:pStyle w:val="SemEspaamento"/>
        <w:jc w:val="both"/>
        <w:rPr>
          <w:rFonts w:ascii="Verdana" w:hAnsi="Verdana"/>
          <w:sz w:val="18"/>
          <w:szCs w:val="18"/>
        </w:rPr>
      </w:pPr>
      <w:r w:rsidRPr="0096030C">
        <w:rPr>
          <w:rStyle w:val="Refdenotaderodap"/>
          <w:rFonts w:ascii="Verdana" w:hAnsi="Verdana"/>
          <w:sz w:val="18"/>
          <w:szCs w:val="18"/>
        </w:rPr>
        <w:footnoteRef/>
      </w:r>
      <w:r w:rsidRPr="0096030C">
        <w:rPr>
          <w:rFonts w:ascii="Verdana" w:hAnsi="Verdana"/>
          <w:sz w:val="18"/>
          <w:szCs w:val="18"/>
        </w:rPr>
        <w:t xml:space="preserve"> DAHL, R. </w:t>
      </w:r>
      <w:r w:rsidRPr="0096030C">
        <w:rPr>
          <w:rFonts w:ascii="Verdana" w:hAnsi="Verdana"/>
          <w:i/>
          <w:iCs/>
          <w:sz w:val="18"/>
          <w:szCs w:val="18"/>
        </w:rPr>
        <w:t>A democracia e seus críticos</w:t>
      </w:r>
      <w:r w:rsidRPr="0096030C">
        <w:rPr>
          <w:rFonts w:ascii="Verdana" w:hAnsi="Verdana"/>
          <w:sz w:val="18"/>
          <w:szCs w:val="18"/>
        </w:rPr>
        <w:t>. Trad. FREITAS RIBEIRO, Patrícia, Martins Fontes, São Paulo, 2012, p. 396.</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2766117"/>
      <w:docPartObj>
        <w:docPartGallery w:val="Page Numbers (Top of Page)"/>
        <w:docPartUnique/>
      </w:docPartObj>
    </w:sdtPr>
    <w:sdtEndPr/>
    <w:sdtContent>
      <w:p w14:paraId="005CC375" w14:textId="71395916" w:rsidR="00F04D5E" w:rsidRPr="00F04D5E" w:rsidRDefault="00F04D5E" w:rsidP="00F04D5E">
        <w:pPr>
          <w:pStyle w:val="Cabealho"/>
        </w:pPr>
        <w:r>
          <w:fldChar w:fldCharType="begin"/>
        </w:r>
        <w:r>
          <w:instrText>PAGE   \* MERGEFORMAT</w:instrText>
        </w:r>
        <w:r>
          <w:fldChar w:fldCharType="separate"/>
        </w:r>
        <w:r w:rsidR="00A260CE" w:rsidRPr="00A260CE">
          <w:rPr>
            <w:noProof/>
            <w:lang w:val="pt-PT"/>
          </w:rPr>
          <w:t>2</w:t>
        </w:r>
        <w:r>
          <w:fldChar w:fldCharType="end"/>
        </w:r>
        <w:r>
          <w:t xml:space="preserve">                 </w:t>
        </w:r>
        <w:r w:rsidRPr="00DC0A9E">
          <w:rPr>
            <w:rFonts w:ascii="Verdana" w:hAnsi="Verdana"/>
            <w:b/>
            <w:i/>
            <w:szCs w:val="26"/>
            <w:lang w:val="pt-PT"/>
          </w:rPr>
          <w:t xml:space="preserve">Cadernos de </w:t>
        </w:r>
        <w:proofErr w:type="spellStart"/>
        <w:r w:rsidRPr="00DC0A9E">
          <w:rPr>
            <w:rFonts w:ascii="Verdana" w:hAnsi="Verdana"/>
            <w:b/>
            <w:i/>
            <w:szCs w:val="26"/>
            <w:lang w:val="pt-PT"/>
          </w:rPr>
          <w:t>Dereito</w:t>
        </w:r>
        <w:proofErr w:type="spellEnd"/>
        <w:r w:rsidRPr="00DC0A9E">
          <w:rPr>
            <w:rFonts w:ascii="Verdana" w:hAnsi="Verdana"/>
            <w:b/>
            <w:i/>
            <w:szCs w:val="26"/>
            <w:lang w:val="pt-PT"/>
          </w:rPr>
          <w:t xml:space="preserve"> </w:t>
        </w:r>
        <w:proofErr w:type="spellStart"/>
        <w:proofErr w:type="gramStart"/>
        <w:r w:rsidRPr="00DC0A9E">
          <w:rPr>
            <w:rFonts w:ascii="Verdana" w:hAnsi="Verdana"/>
            <w:b/>
            <w:i/>
            <w:szCs w:val="26"/>
            <w:lang w:val="pt-PT"/>
          </w:rPr>
          <w:t>Actual</w:t>
        </w:r>
        <w:proofErr w:type="spellEnd"/>
        <w:r w:rsidRPr="00DC0A9E">
          <w:rPr>
            <w:rFonts w:ascii="Verdana" w:hAnsi="Verdana"/>
            <w:b/>
            <w:i/>
            <w:szCs w:val="26"/>
            <w:lang w:val="pt-PT"/>
          </w:rPr>
          <w:t xml:space="preserve">  </w:t>
        </w:r>
        <w:r w:rsidRPr="00DC0A9E">
          <w:rPr>
            <w:rFonts w:ascii="Verdana" w:hAnsi="Verdana"/>
            <w:szCs w:val="26"/>
            <w:lang w:val="pt-PT"/>
          </w:rPr>
          <w:t>Nº</w:t>
        </w:r>
        <w:proofErr w:type="gramEnd"/>
        <w:r w:rsidRPr="00DC0A9E">
          <w:rPr>
            <w:rFonts w:ascii="Verdana" w:hAnsi="Verdana"/>
            <w:szCs w:val="26"/>
            <w:lang w:val="pt-PT"/>
          </w:rPr>
          <w:t xml:space="preserve"> </w:t>
        </w:r>
        <w:r w:rsidR="000D2D9F">
          <w:rPr>
            <w:rFonts w:ascii="Verdana" w:hAnsi="Verdana"/>
            <w:szCs w:val="26"/>
            <w:lang w:val="pt-PT"/>
          </w:rPr>
          <w:t>1</w:t>
        </w:r>
        <w:r w:rsidR="00BD7AA6">
          <w:rPr>
            <w:rFonts w:ascii="Verdana" w:hAnsi="Verdana"/>
            <w:szCs w:val="26"/>
            <w:lang w:val="pt-PT"/>
          </w:rPr>
          <w:t>5</w:t>
        </w:r>
        <w:r w:rsidRPr="00DC0A9E">
          <w:rPr>
            <w:rFonts w:ascii="Verdana" w:hAnsi="Verdana"/>
            <w:szCs w:val="26"/>
            <w:lang w:val="pt-PT"/>
          </w:rPr>
          <w:t xml:space="preserve">. </w:t>
        </w:r>
        <w:r>
          <w:rPr>
            <w:rFonts w:ascii="Verdana" w:hAnsi="Verdana"/>
            <w:szCs w:val="26"/>
          </w:rPr>
          <w:t xml:space="preserve">Núm. </w:t>
        </w:r>
        <w:proofErr w:type="spellStart"/>
        <w:r>
          <w:rPr>
            <w:rFonts w:ascii="Verdana" w:hAnsi="Verdana"/>
            <w:szCs w:val="26"/>
          </w:rPr>
          <w:t>Ordinario</w:t>
        </w:r>
        <w:proofErr w:type="spellEnd"/>
        <w:r>
          <w:rPr>
            <w:rFonts w:ascii="Verdana" w:hAnsi="Verdana"/>
            <w:szCs w:val="26"/>
          </w:rPr>
          <w:t xml:space="preserve">, </w:t>
        </w:r>
        <w:r w:rsidRPr="00073783">
          <w:rPr>
            <w:rFonts w:ascii="Verdana" w:hAnsi="Verdana"/>
            <w:szCs w:val="26"/>
          </w:rPr>
          <w:t>(</w:t>
        </w:r>
        <w:r w:rsidR="000D2D9F">
          <w:rPr>
            <w:rFonts w:ascii="Verdana" w:hAnsi="Verdana"/>
            <w:szCs w:val="26"/>
          </w:rPr>
          <w:t>202</w:t>
        </w:r>
        <w:r w:rsidR="00BD7AA6">
          <w:rPr>
            <w:rFonts w:ascii="Verdana" w:hAnsi="Verdana"/>
            <w:szCs w:val="26"/>
          </w:rPr>
          <w:t>1</w:t>
        </w:r>
        <w:r w:rsidRPr="00073783">
          <w:rPr>
            <w:rFonts w:ascii="Verdana" w:hAnsi="Verdana"/>
            <w:szCs w:val="26"/>
          </w:rPr>
          <w:t>)</w:t>
        </w:r>
      </w:p>
    </w:sdtContent>
  </w:sdt>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B452E" w14:textId="141B6BD2" w:rsidR="00F04D5E" w:rsidRPr="00297F18" w:rsidRDefault="00F04D5E" w:rsidP="00F04D5E">
    <w:pPr>
      <w:pStyle w:val="Cabealho"/>
      <w:tabs>
        <w:tab w:val="clear" w:pos="8504"/>
        <w:tab w:val="right" w:pos="8789"/>
      </w:tabs>
      <w:ind w:left="-426"/>
      <w:jc w:val="both"/>
      <w:rPr>
        <w:rFonts w:ascii="Verdana" w:hAnsi="Verdana"/>
        <w:lang w:val="es-ES_tradnl"/>
      </w:rPr>
    </w:pPr>
    <w:r w:rsidRPr="00297F18">
      <w:rPr>
        <w:rFonts w:ascii="Verdana" w:hAnsi="Verdana" w:cs="Times"/>
        <w:lang w:val="es-ES_tradnl"/>
      </w:rPr>
      <w:t xml:space="preserve">     </w:t>
    </w:r>
    <w:r w:rsidR="00297F18" w:rsidRPr="00297F18">
      <w:rPr>
        <w:rFonts w:ascii="Verdana" w:hAnsi="Verdana" w:cs="Times"/>
        <w:lang w:val="es-ES_tradnl"/>
      </w:rPr>
      <w:t>Nombre</w:t>
    </w:r>
    <w:r w:rsidR="00297F18">
      <w:rPr>
        <w:rFonts w:ascii="Verdana" w:hAnsi="Verdana" w:cs="Times"/>
        <w:lang w:val="es-ES_tradnl"/>
      </w:rPr>
      <w:t xml:space="preserve"> completo</w:t>
    </w:r>
    <w:r w:rsidR="00297F18" w:rsidRPr="00297F18">
      <w:rPr>
        <w:rFonts w:ascii="Verdana" w:hAnsi="Verdana" w:cs="Times"/>
        <w:lang w:val="es-ES_tradnl"/>
      </w:rPr>
      <w:t xml:space="preserve"> del au</w:t>
    </w:r>
    <w:r w:rsidR="00297F18">
      <w:rPr>
        <w:rFonts w:ascii="Verdana" w:hAnsi="Verdana" w:cs="Times"/>
        <w:lang w:val="es-ES_tradnl"/>
      </w:rPr>
      <w:t>tor</w:t>
    </w:r>
    <w:r w:rsidR="00E41624" w:rsidRPr="00297F18">
      <w:rPr>
        <w:rFonts w:ascii="Verdana" w:hAnsi="Verdana" w:cs="Times"/>
        <w:lang w:val="es-ES_tradnl"/>
      </w:rPr>
      <w:t xml:space="preserve"> </w:t>
    </w:r>
    <w:r w:rsidRPr="00297F18">
      <w:rPr>
        <w:rFonts w:ascii="Verdana" w:hAnsi="Verdana" w:cs="Times"/>
        <w:lang w:val="es-ES_tradnl"/>
      </w:rPr>
      <w:t xml:space="preserve">             </w:t>
    </w:r>
    <w:r w:rsidR="00E41624" w:rsidRPr="00297F18">
      <w:rPr>
        <w:rFonts w:ascii="Verdana" w:hAnsi="Verdana" w:cs="Times"/>
        <w:lang w:val="es-ES_tradnl"/>
      </w:rPr>
      <w:t xml:space="preserve">         </w:t>
    </w:r>
    <w:r w:rsidRPr="00297F18">
      <w:rPr>
        <w:rFonts w:ascii="Verdana" w:hAnsi="Verdana" w:cs="Times"/>
        <w:lang w:val="es-ES_tradnl"/>
      </w:rPr>
      <w:t xml:space="preserve"> </w:t>
    </w:r>
    <w:r w:rsidR="00297F18">
      <w:rPr>
        <w:rFonts w:ascii="Verdana" w:hAnsi="Verdana" w:cs="Times"/>
        <w:lang w:val="es-ES_tradnl"/>
      </w:rPr>
      <w:t>título recortado</w:t>
    </w:r>
    <w:r w:rsidR="00DE0A30" w:rsidRPr="00297F18">
      <w:rPr>
        <w:rFonts w:ascii="Verdana" w:hAnsi="Verdana" w:cs="Times"/>
        <w:lang w:val="es-ES_tradnl"/>
      </w:rPr>
      <w:t>:</w:t>
    </w:r>
    <w:r w:rsidRPr="00297F18">
      <w:rPr>
        <w:rFonts w:ascii="Verdana" w:hAnsi="Verdana" w:cs="Times"/>
        <w:lang w:val="es-ES_tradnl"/>
      </w:rPr>
      <w:t xml:space="preserv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442EB" w14:textId="2FB2AEA6" w:rsidR="00F04D5E" w:rsidRDefault="00F04D5E" w:rsidP="00F04D5E">
    <w:pPr>
      <w:pStyle w:val="Cabealho"/>
      <w:tabs>
        <w:tab w:val="clear" w:pos="8504"/>
        <w:tab w:val="right" w:pos="8789"/>
      </w:tabs>
      <w:spacing w:after="0" w:line="240" w:lineRule="auto"/>
      <w:ind w:left="-426"/>
      <w:jc w:val="center"/>
      <w:rPr>
        <w:rFonts w:ascii="Verdana" w:hAnsi="Verdana"/>
      </w:rPr>
    </w:pPr>
    <w:r w:rsidRPr="00DC0A9E">
      <w:rPr>
        <w:rFonts w:ascii="Verdana" w:hAnsi="Verdana" w:cs="Times"/>
        <w:lang w:val="pt-PT"/>
      </w:rPr>
      <w:t xml:space="preserve">© </w:t>
    </w:r>
    <w:r w:rsidRPr="00DC0A9E">
      <w:rPr>
        <w:rFonts w:ascii="Verdana" w:hAnsi="Verdana"/>
        <w:b/>
        <w:i/>
        <w:lang w:val="pt-PT"/>
      </w:rPr>
      <w:t xml:space="preserve">Cadernos de </w:t>
    </w:r>
    <w:proofErr w:type="spellStart"/>
    <w:r w:rsidRPr="00DC0A9E">
      <w:rPr>
        <w:rFonts w:ascii="Verdana" w:hAnsi="Verdana"/>
        <w:b/>
        <w:i/>
        <w:lang w:val="pt-PT"/>
      </w:rPr>
      <w:t>Dereito</w:t>
    </w:r>
    <w:proofErr w:type="spellEnd"/>
    <w:r w:rsidRPr="00DC0A9E">
      <w:rPr>
        <w:rFonts w:ascii="Verdana" w:hAnsi="Verdana"/>
        <w:b/>
        <w:i/>
        <w:lang w:val="pt-PT"/>
      </w:rPr>
      <w:t xml:space="preserve"> </w:t>
    </w:r>
    <w:proofErr w:type="spellStart"/>
    <w:r w:rsidRPr="00DC0A9E">
      <w:rPr>
        <w:rFonts w:ascii="Verdana" w:hAnsi="Verdana"/>
        <w:b/>
        <w:i/>
        <w:lang w:val="pt-PT"/>
      </w:rPr>
      <w:t>Actual</w:t>
    </w:r>
    <w:proofErr w:type="spellEnd"/>
    <w:r w:rsidRPr="00DC0A9E">
      <w:rPr>
        <w:rFonts w:ascii="Verdana" w:hAnsi="Verdana"/>
        <w:lang w:val="pt-PT"/>
      </w:rPr>
      <w:t xml:space="preserve"> Nº </w:t>
    </w:r>
    <w:r w:rsidR="00491227">
      <w:rPr>
        <w:rFonts w:ascii="Verdana" w:hAnsi="Verdana"/>
        <w:lang w:val="pt-PT"/>
      </w:rPr>
      <w:t>1</w:t>
    </w:r>
    <w:r w:rsidR="00BD7AA6">
      <w:rPr>
        <w:rFonts w:ascii="Verdana" w:hAnsi="Verdana"/>
        <w:lang w:val="pt-PT"/>
      </w:rPr>
      <w:t>5</w:t>
    </w:r>
    <w:r w:rsidRPr="00DC0A9E">
      <w:rPr>
        <w:rFonts w:ascii="Verdana" w:hAnsi="Verdana"/>
        <w:lang w:val="pt-PT"/>
      </w:rPr>
      <w:t xml:space="preserve">. </w:t>
    </w:r>
    <w:r>
      <w:rPr>
        <w:rFonts w:ascii="Verdana" w:hAnsi="Verdana"/>
      </w:rPr>
      <w:t xml:space="preserve">Núm. </w:t>
    </w:r>
    <w:proofErr w:type="spellStart"/>
    <w:r>
      <w:rPr>
        <w:rFonts w:ascii="Verdana" w:hAnsi="Verdana"/>
      </w:rPr>
      <w:t>Ordinario</w:t>
    </w:r>
    <w:proofErr w:type="spellEnd"/>
    <w:r w:rsidRPr="00F72DF8">
      <w:rPr>
        <w:rFonts w:ascii="Verdana" w:hAnsi="Verdana"/>
      </w:rPr>
      <w:t xml:space="preserve"> (</w:t>
    </w:r>
    <w:r w:rsidR="00491227">
      <w:rPr>
        <w:rFonts w:ascii="Verdana" w:hAnsi="Verdana"/>
      </w:rPr>
      <w:t>202</w:t>
    </w:r>
    <w:r w:rsidR="00BD7AA6">
      <w:rPr>
        <w:rFonts w:ascii="Verdana" w:hAnsi="Verdana"/>
      </w:rPr>
      <w:t>1</w:t>
    </w:r>
    <w:r w:rsidRPr="00A80223">
      <w:rPr>
        <w:rFonts w:ascii="Verdana" w:hAnsi="Verdana"/>
      </w:rPr>
      <w:t xml:space="preserve">), pp. </w:t>
    </w:r>
    <w:r w:rsidR="00297F18">
      <w:rPr>
        <w:rFonts w:ascii="Verdana" w:hAnsi="Verdana"/>
      </w:rPr>
      <w:t>00</w:t>
    </w:r>
    <w:r w:rsidRPr="00A80223">
      <w:rPr>
        <w:rFonts w:ascii="Verdana" w:hAnsi="Verdana"/>
      </w:rPr>
      <w:t>-</w:t>
    </w:r>
    <w:r w:rsidR="00297F18">
      <w:rPr>
        <w:rFonts w:ascii="Verdana" w:hAnsi="Verdana"/>
      </w:rPr>
      <w:t>00</w:t>
    </w:r>
  </w:p>
  <w:p w14:paraId="6A815B48" w14:textId="6ED0C661" w:rsidR="00F04D5E" w:rsidRPr="00F04D5E" w:rsidRDefault="00F04D5E" w:rsidP="00F04D5E">
    <w:pPr>
      <w:pStyle w:val="Cabealho"/>
      <w:tabs>
        <w:tab w:val="clear" w:pos="8504"/>
        <w:tab w:val="right" w:pos="8789"/>
      </w:tabs>
      <w:ind w:left="-426"/>
      <w:jc w:val="center"/>
      <w:rPr>
        <w:rFonts w:ascii="Verdana" w:hAnsi="Verdana"/>
      </w:rPr>
    </w:pPr>
    <w:r w:rsidRPr="00F72DF8">
      <w:rPr>
        <w:rFonts w:ascii="Verdana" w:hAnsi="Verdana"/>
      </w:rPr>
      <w:t xml:space="preserve">·ISSN </w:t>
    </w:r>
    <w:r>
      <w:rPr>
        <w:rFonts w:ascii="Verdana" w:hAnsi="Verdana" w:cs="Arial"/>
      </w:rPr>
      <w:t>2340-8</w:t>
    </w:r>
    <w:r w:rsidRPr="00F72DF8">
      <w:rPr>
        <w:rFonts w:ascii="Verdana" w:hAnsi="Verdana" w:cs="Arial"/>
      </w:rPr>
      <w:t xml:space="preserve">60X </w:t>
    </w:r>
    <w:r>
      <w:rPr>
        <w:rFonts w:ascii="Verdana" w:hAnsi="Verdana" w:cs="Arial"/>
      </w:rPr>
      <w:t xml:space="preserve">  -   </w:t>
    </w:r>
    <w:r w:rsidRPr="00F72DF8">
      <w:rPr>
        <w:rFonts w:ascii="Verdana" w:hAnsi="Verdana"/>
      </w:rPr>
      <w:t>·</w:t>
    </w:r>
    <w:proofErr w:type="spellStart"/>
    <w:r w:rsidRPr="00F72DF8">
      <w:rPr>
        <w:rFonts w:ascii="Verdana" w:hAnsi="Verdana" w:cs="Arial"/>
      </w:rPr>
      <w:t>ISSN</w:t>
    </w:r>
    <w:r w:rsidRPr="00AD799E">
      <w:rPr>
        <w:rFonts w:ascii="Verdana" w:hAnsi="Verdana" w:cs="Arial"/>
      </w:rPr>
      <w:t>e</w:t>
    </w:r>
    <w:proofErr w:type="spellEnd"/>
    <w:r>
      <w:rPr>
        <w:rFonts w:ascii="Verdana" w:hAnsi="Verdana" w:cs="Arial"/>
      </w:rPr>
      <w:t xml:space="preserve"> </w:t>
    </w:r>
    <w:r w:rsidRPr="00E93519">
      <w:rPr>
        <w:rFonts w:ascii="Verdana" w:hAnsi="Verdana"/>
        <w:color w:val="000000" w:themeColor="text1"/>
        <w:shd w:val="clear" w:color="auto" w:fill="FFFFFF"/>
      </w:rPr>
      <w:t>2386-5229</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008D1"/>
    <w:multiLevelType w:val="multilevel"/>
    <w:tmpl w:val="AB58C0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6EA5F4E"/>
    <w:multiLevelType w:val="hybridMultilevel"/>
    <w:tmpl w:val="E77063BE"/>
    <w:lvl w:ilvl="0" w:tplc="166CA072">
      <w:numFmt w:val="bullet"/>
      <w:lvlText w:val=""/>
      <w:lvlJc w:val="left"/>
      <w:pPr>
        <w:ind w:left="1068" w:hanging="360"/>
      </w:pPr>
      <w:rPr>
        <w:rFonts w:ascii="Symbol" w:eastAsia="Times New Roman" w:hAnsi="Symbol" w:cs="Aria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
    <w:nsid w:val="096B7E00"/>
    <w:multiLevelType w:val="hybridMultilevel"/>
    <w:tmpl w:val="670244F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nsid w:val="20633872"/>
    <w:multiLevelType w:val="hybridMultilevel"/>
    <w:tmpl w:val="28FEDC6C"/>
    <w:lvl w:ilvl="0" w:tplc="6C6E1F46">
      <w:numFmt w:val="bullet"/>
      <w:lvlText w:val=""/>
      <w:lvlJc w:val="left"/>
      <w:pPr>
        <w:ind w:left="1065" w:hanging="360"/>
      </w:pPr>
      <w:rPr>
        <w:rFonts w:ascii="Symbol" w:eastAsia="Calibri" w:hAnsi="Symbol" w:cs="Times New Roman" w:hint="default"/>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abstractNum w:abstractNumId="4">
    <w:nsid w:val="24951655"/>
    <w:multiLevelType w:val="multilevel"/>
    <w:tmpl w:val="F5D6974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5">
    <w:nsid w:val="29920F8D"/>
    <w:multiLevelType w:val="hybridMultilevel"/>
    <w:tmpl w:val="235617AE"/>
    <w:lvl w:ilvl="0" w:tplc="182A461C">
      <w:start w:val="1"/>
      <w:numFmt w:val="decimal"/>
      <w:lvlText w:val="%1."/>
      <w:lvlJc w:val="left"/>
      <w:pPr>
        <w:ind w:left="1080" w:hanging="360"/>
      </w:pPr>
      <w:rPr>
        <w:rFonts w:hint="default"/>
        <w:b/>
        <w:color w:val="365F91"/>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329072FA"/>
    <w:multiLevelType w:val="hybridMultilevel"/>
    <w:tmpl w:val="D75C790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43E6E1F"/>
    <w:multiLevelType w:val="hybridMultilevel"/>
    <w:tmpl w:val="ABFEC51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nsid w:val="36FC2103"/>
    <w:multiLevelType w:val="hybridMultilevel"/>
    <w:tmpl w:val="32BCBBE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nsid w:val="453A04BD"/>
    <w:multiLevelType w:val="hybridMultilevel"/>
    <w:tmpl w:val="7E8ADBA6"/>
    <w:lvl w:ilvl="0" w:tplc="49F00E00">
      <w:start w:val="1"/>
      <w:numFmt w:val="lowerLetter"/>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0">
    <w:nsid w:val="46946C29"/>
    <w:multiLevelType w:val="hybridMultilevel"/>
    <w:tmpl w:val="8558122E"/>
    <w:lvl w:ilvl="0" w:tplc="5DB443D4">
      <w:start w:val="1"/>
      <w:numFmt w:val="bullet"/>
      <w:lvlText w:val="-"/>
      <w:lvlJc w:val="left"/>
      <w:pPr>
        <w:ind w:left="1991" w:hanging="360"/>
      </w:pPr>
      <w:rPr>
        <w:rFonts w:ascii="Times New Roman" w:eastAsiaTheme="minorHAnsi" w:hAnsi="Times New Roman" w:cs="Times New Roman" w:hint="default"/>
      </w:rPr>
    </w:lvl>
    <w:lvl w:ilvl="1" w:tplc="0C0A0003" w:tentative="1">
      <w:start w:val="1"/>
      <w:numFmt w:val="bullet"/>
      <w:lvlText w:val="o"/>
      <w:lvlJc w:val="left"/>
      <w:pPr>
        <w:ind w:left="2711" w:hanging="360"/>
      </w:pPr>
      <w:rPr>
        <w:rFonts w:ascii="Courier New" w:hAnsi="Courier New" w:cs="Courier New" w:hint="default"/>
      </w:rPr>
    </w:lvl>
    <w:lvl w:ilvl="2" w:tplc="0C0A0005" w:tentative="1">
      <w:start w:val="1"/>
      <w:numFmt w:val="bullet"/>
      <w:lvlText w:val=""/>
      <w:lvlJc w:val="left"/>
      <w:pPr>
        <w:ind w:left="3431" w:hanging="360"/>
      </w:pPr>
      <w:rPr>
        <w:rFonts w:ascii="Wingdings" w:hAnsi="Wingdings" w:hint="default"/>
      </w:rPr>
    </w:lvl>
    <w:lvl w:ilvl="3" w:tplc="0C0A0001" w:tentative="1">
      <w:start w:val="1"/>
      <w:numFmt w:val="bullet"/>
      <w:lvlText w:val=""/>
      <w:lvlJc w:val="left"/>
      <w:pPr>
        <w:ind w:left="4151" w:hanging="360"/>
      </w:pPr>
      <w:rPr>
        <w:rFonts w:ascii="Symbol" w:hAnsi="Symbol" w:hint="default"/>
      </w:rPr>
    </w:lvl>
    <w:lvl w:ilvl="4" w:tplc="0C0A0003" w:tentative="1">
      <w:start w:val="1"/>
      <w:numFmt w:val="bullet"/>
      <w:lvlText w:val="o"/>
      <w:lvlJc w:val="left"/>
      <w:pPr>
        <w:ind w:left="4871" w:hanging="360"/>
      </w:pPr>
      <w:rPr>
        <w:rFonts w:ascii="Courier New" w:hAnsi="Courier New" w:cs="Courier New" w:hint="default"/>
      </w:rPr>
    </w:lvl>
    <w:lvl w:ilvl="5" w:tplc="0C0A0005" w:tentative="1">
      <w:start w:val="1"/>
      <w:numFmt w:val="bullet"/>
      <w:lvlText w:val=""/>
      <w:lvlJc w:val="left"/>
      <w:pPr>
        <w:ind w:left="5591" w:hanging="360"/>
      </w:pPr>
      <w:rPr>
        <w:rFonts w:ascii="Wingdings" w:hAnsi="Wingdings" w:hint="default"/>
      </w:rPr>
    </w:lvl>
    <w:lvl w:ilvl="6" w:tplc="0C0A0001" w:tentative="1">
      <w:start w:val="1"/>
      <w:numFmt w:val="bullet"/>
      <w:lvlText w:val=""/>
      <w:lvlJc w:val="left"/>
      <w:pPr>
        <w:ind w:left="6311" w:hanging="360"/>
      </w:pPr>
      <w:rPr>
        <w:rFonts w:ascii="Symbol" w:hAnsi="Symbol" w:hint="default"/>
      </w:rPr>
    </w:lvl>
    <w:lvl w:ilvl="7" w:tplc="0C0A0003" w:tentative="1">
      <w:start w:val="1"/>
      <w:numFmt w:val="bullet"/>
      <w:lvlText w:val="o"/>
      <w:lvlJc w:val="left"/>
      <w:pPr>
        <w:ind w:left="7031" w:hanging="360"/>
      </w:pPr>
      <w:rPr>
        <w:rFonts w:ascii="Courier New" w:hAnsi="Courier New" w:cs="Courier New" w:hint="default"/>
      </w:rPr>
    </w:lvl>
    <w:lvl w:ilvl="8" w:tplc="0C0A0005" w:tentative="1">
      <w:start w:val="1"/>
      <w:numFmt w:val="bullet"/>
      <w:lvlText w:val=""/>
      <w:lvlJc w:val="left"/>
      <w:pPr>
        <w:ind w:left="7751" w:hanging="360"/>
      </w:pPr>
      <w:rPr>
        <w:rFonts w:ascii="Wingdings" w:hAnsi="Wingdings" w:hint="default"/>
      </w:rPr>
    </w:lvl>
  </w:abstractNum>
  <w:abstractNum w:abstractNumId="11">
    <w:nsid w:val="548B2289"/>
    <w:multiLevelType w:val="hybridMultilevel"/>
    <w:tmpl w:val="CA56DB2E"/>
    <w:lvl w:ilvl="0" w:tplc="4DCC0276">
      <w:numFmt w:val="bullet"/>
      <w:lvlText w:val=""/>
      <w:lvlJc w:val="left"/>
      <w:pPr>
        <w:ind w:left="720" w:hanging="360"/>
      </w:pPr>
      <w:rPr>
        <w:rFonts w:ascii="Symbol" w:eastAsia="Calibri" w:hAnsi="Symbol"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nsid w:val="555A24B6"/>
    <w:multiLevelType w:val="hybridMultilevel"/>
    <w:tmpl w:val="E278D08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nsid w:val="568D368D"/>
    <w:multiLevelType w:val="hybridMultilevel"/>
    <w:tmpl w:val="C95450F4"/>
    <w:lvl w:ilvl="0" w:tplc="18D0601E">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4">
    <w:nsid w:val="59002910"/>
    <w:multiLevelType w:val="multilevel"/>
    <w:tmpl w:val="A000A47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nsid w:val="59F308AE"/>
    <w:multiLevelType w:val="hybridMultilevel"/>
    <w:tmpl w:val="DA1E6472"/>
    <w:lvl w:ilvl="0" w:tplc="F446B944">
      <w:start w:val="1"/>
      <w:numFmt w:val="upp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nsid w:val="5A2E6D96"/>
    <w:multiLevelType w:val="hybridMultilevel"/>
    <w:tmpl w:val="57ACBAD6"/>
    <w:lvl w:ilvl="0" w:tplc="09AC70FE">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5E397107"/>
    <w:multiLevelType w:val="hybridMultilevel"/>
    <w:tmpl w:val="7FE6FDE4"/>
    <w:lvl w:ilvl="0" w:tplc="C7268114">
      <w:start w:val="1"/>
      <w:numFmt w:val="bullet"/>
      <w:lvlText w:val=""/>
      <w:lvlJc w:val="left"/>
      <w:pPr>
        <w:ind w:left="720" w:hanging="360"/>
      </w:pPr>
      <w:rPr>
        <w:rFonts w:ascii="Symbol" w:eastAsia="Calibri" w:hAnsi="Symbol" w:cs="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8">
    <w:nsid w:val="5F1C75F6"/>
    <w:multiLevelType w:val="multilevel"/>
    <w:tmpl w:val="B676729E"/>
    <w:lvl w:ilvl="0">
      <w:start w:val="1"/>
      <w:numFmt w:val="upperRoman"/>
      <w:lvlText w:val="%1."/>
      <w:lvlJc w:val="left"/>
      <w:pPr>
        <w:ind w:left="1440" w:hanging="720"/>
      </w:pPr>
      <w:rPr>
        <w:rFonts w:hint="default"/>
      </w:rPr>
    </w:lvl>
    <w:lvl w:ilvl="1">
      <w:start w:val="1"/>
      <w:numFmt w:val="decimal"/>
      <w:isLgl/>
      <w:lvlText w:val="%1.%2."/>
      <w:lvlJc w:val="left"/>
      <w:pPr>
        <w:ind w:left="2149" w:hanging="720"/>
      </w:pPr>
      <w:rPr>
        <w:rFonts w:hint="default"/>
      </w:rPr>
    </w:lvl>
    <w:lvl w:ilvl="2">
      <w:start w:val="2"/>
      <w:numFmt w:val="decimal"/>
      <w:isLgl/>
      <w:lvlText w:val="%1.%2.%3."/>
      <w:lvlJc w:val="left"/>
      <w:pPr>
        <w:ind w:left="2858" w:hanging="720"/>
      </w:pPr>
      <w:rPr>
        <w:rFonts w:hint="default"/>
      </w:rPr>
    </w:lvl>
    <w:lvl w:ilvl="3">
      <w:start w:val="1"/>
      <w:numFmt w:val="decimal"/>
      <w:isLgl/>
      <w:lvlText w:val="%1.%2.%3.%4."/>
      <w:lvlJc w:val="left"/>
      <w:pPr>
        <w:ind w:left="3927" w:hanging="1080"/>
      </w:pPr>
      <w:rPr>
        <w:rFonts w:hint="default"/>
      </w:rPr>
    </w:lvl>
    <w:lvl w:ilvl="4">
      <w:start w:val="1"/>
      <w:numFmt w:val="decimal"/>
      <w:isLgl/>
      <w:lvlText w:val="%1.%2.%3.%4.%5."/>
      <w:lvlJc w:val="left"/>
      <w:pPr>
        <w:ind w:left="4636" w:hanging="1080"/>
      </w:pPr>
      <w:rPr>
        <w:rFonts w:hint="default"/>
      </w:rPr>
    </w:lvl>
    <w:lvl w:ilvl="5">
      <w:start w:val="1"/>
      <w:numFmt w:val="decimal"/>
      <w:isLgl/>
      <w:lvlText w:val="%1.%2.%3.%4.%5.%6."/>
      <w:lvlJc w:val="left"/>
      <w:pPr>
        <w:ind w:left="5705" w:hanging="1440"/>
      </w:pPr>
      <w:rPr>
        <w:rFonts w:hint="default"/>
      </w:rPr>
    </w:lvl>
    <w:lvl w:ilvl="6">
      <w:start w:val="1"/>
      <w:numFmt w:val="decimal"/>
      <w:isLgl/>
      <w:lvlText w:val="%1.%2.%3.%4.%5.%6.%7."/>
      <w:lvlJc w:val="left"/>
      <w:pPr>
        <w:ind w:left="6414" w:hanging="1440"/>
      </w:pPr>
      <w:rPr>
        <w:rFonts w:hint="default"/>
      </w:rPr>
    </w:lvl>
    <w:lvl w:ilvl="7">
      <w:start w:val="1"/>
      <w:numFmt w:val="decimal"/>
      <w:isLgl/>
      <w:lvlText w:val="%1.%2.%3.%4.%5.%6.%7.%8."/>
      <w:lvlJc w:val="left"/>
      <w:pPr>
        <w:ind w:left="7483" w:hanging="1800"/>
      </w:pPr>
      <w:rPr>
        <w:rFonts w:hint="default"/>
      </w:rPr>
    </w:lvl>
    <w:lvl w:ilvl="8">
      <w:start w:val="1"/>
      <w:numFmt w:val="decimal"/>
      <w:isLgl/>
      <w:lvlText w:val="%1.%2.%3.%4.%5.%6.%7.%8.%9."/>
      <w:lvlJc w:val="left"/>
      <w:pPr>
        <w:ind w:left="8552" w:hanging="2160"/>
      </w:pPr>
      <w:rPr>
        <w:rFonts w:hint="default"/>
      </w:rPr>
    </w:lvl>
  </w:abstractNum>
  <w:abstractNum w:abstractNumId="19">
    <w:nsid w:val="60847FE2"/>
    <w:multiLevelType w:val="multilevel"/>
    <w:tmpl w:val="261EAB26"/>
    <w:lvl w:ilvl="0">
      <w:start w:val="1"/>
      <w:numFmt w:val="decimal"/>
      <w:lvlText w:val="%1"/>
      <w:lvlJc w:val="left"/>
      <w:pPr>
        <w:ind w:left="360" w:hanging="360"/>
      </w:pPr>
      <w:rPr>
        <w:rFonts w:ascii="Verdana" w:eastAsia="Times New Roman" w:hAnsi="Verdana" w:cs="Times New Roman"/>
        <w:i w:val="0"/>
        <w:i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36C65B4"/>
    <w:multiLevelType w:val="multilevel"/>
    <w:tmpl w:val="9154C944"/>
    <w:lvl w:ilvl="0">
      <w:start w:val="3"/>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nsid w:val="652D339B"/>
    <w:multiLevelType w:val="multilevel"/>
    <w:tmpl w:val="80EC3A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65413236"/>
    <w:multiLevelType w:val="hybridMultilevel"/>
    <w:tmpl w:val="0836765A"/>
    <w:lvl w:ilvl="0" w:tplc="C14AEE3C">
      <w:start w:val="1"/>
      <w:numFmt w:val="upperRoman"/>
      <w:lvlText w:val="%1."/>
      <w:lvlJc w:val="left"/>
      <w:pPr>
        <w:ind w:left="2138" w:hanging="720"/>
      </w:pPr>
      <w:rPr>
        <w:rFonts w:hint="default"/>
      </w:rPr>
    </w:lvl>
    <w:lvl w:ilvl="1" w:tplc="08160019" w:tentative="1">
      <w:start w:val="1"/>
      <w:numFmt w:val="lowerLetter"/>
      <w:lvlText w:val="%2."/>
      <w:lvlJc w:val="left"/>
      <w:pPr>
        <w:ind w:left="2498" w:hanging="360"/>
      </w:pPr>
    </w:lvl>
    <w:lvl w:ilvl="2" w:tplc="0816001B" w:tentative="1">
      <w:start w:val="1"/>
      <w:numFmt w:val="lowerRoman"/>
      <w:lvlText w:val="%3."/>
      <w:lvlJc w:val="right"/>
      <w:pPr>
        <w:ind w:left="3218" w:hanging="180"/>
      </w:pPr>
    </w:lvl>
    <w:lvl w:ilvl="3" w:tplc="0816000F" w:tentative="1">
      <w:start w:val="1"/>
      <w:numFmt w:val="decimal"/>
      <w:lvlText w:val="%4."/>
      <w:lvlJc w:val="left"/>
      <w:pPr>
        <w:ind w:left="3938" w:hanging="360"/>
      </w:pPr>
    </w:lvl>
    <w:lvl w:ilvl="4" w:tplc="08160019" w:tentative="1">
      <w:start w:val="1"/>
      <w:numFmt w:val="lowerLetter"/>
      <w:lvlText w:val="%5."/>
      <w:lvlJc w:val="left"/>
      <w:pPr>
        <w:ind w:left="4658" w:hanging="360"/>
      </w:pPr>
    </w:lvl>
    <w:lvl w:ilvl="5" w:tplc="0816001B" w:tentative="1">
      <w:start w:val="1"/>
      <w:numFmt w:val="lowerRoman"/>
      <w:lvlText w:val="%6."/>
      <w:lvlJc w:val="right"/>
      <w:pPr>
        <w:ind w:left="5378" w:hanging="180"/>
      </w:pPr>
    </w:lvl>
    <w:lvl w:ilvl="6" w:tplc="0816000F" w:tentative="1">
      <w:start w:val="1"/>
      <w:numFmt w:val="decimal"/>
      <w:lvlText w:val="%7."/>
      <w:lvlJc w:val="left"/>
      <w:pPr>
        <w:ind w:left="6098" w:hanging="360"/>
      </w:pPr>
    </w:lvl>
    <w:lvl w:ilvl="7" w:tplc="08160019" w:tentative="1">
      <w:start w:val="1"/>
      <w:numFmt w:val="lowerLetter"/>
      <w:lvlText w:val="%8."/>
      <w:lvlJc w:val="left"/>
      <w:pPr>
        <w:ind w:left="6818" w:hanging="360"/>
      </w:pPr>
    </w:lvl>
    <w:lvl w:ilvl="8" w:tplc="0816001B" w:tentative="1">
      <w:start w:val="1"/>
      <w:numFmt w:val="lowerRoman"/>
      <w:lvlText w:val="%9."/>
      <w:lvlJc w:val="right"/>
      <w:pPr>
        <w:ind w:left="7538" w:hanging="180"/>
      </w:pPr>
    </w:lvl>
  </w:abstractNum>
  <w:abstractNum w:abstractNumId="23">
    <w:nsid w:val="674B6685"/>
    <w:multiLevelType w:val="hybridMultilevel"/>
    <w:tmpl w:val="123A9D5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
    <w:nsid w:val="69704B86"/>
    <w:multiLevelType w:val="hybridMultilevel"/>
    <w:tmpl w:val="5E94CDA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B2669AE"/>
    <w:multiLevelType w:val="hybridMultilevel"/>
    <w:tmpl w:val="37D08A1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E335EA3"/>
    <w:multiLevelType w:val="hybridMultilevel"/>
    <w:tmpl w:val="AED0D6F6"/>
    <w:lvl w:ilvl="0" w:tplc="3FE25656">
      <w:start w:val="1"/>
      <w:numFmt w:val="upperLetter"/>
      <w:lvlText w:val="%1."/>
      <w:lvlJc w:val="left"/>
      <w:pPr>
        <w:ind w:left="1631" w:hanging="360"/>
      </w:pPr>
      <w:rPr>
        <w:rFonts w:hint="default"/>
      </w:rPr>
    </w:lvl>
    <w:lvl w:ilvl="1" w:tplc="0C0A0019" w:tentative="1">
      <w:start w:val="1"/>
      <w:numFmt w:val="lowerLetter"/>
      <w:lvlText w:val="%2."/>
      <w:lvlJc w:val="left"/>
      <w:pPr>
        <w:ind w:left="2351" w:hanging="360"/>
      </w:pPr>
    </w:lvl>
    <w:lvl w:ilvl="2" w:tplc="0C0A001B" w:tentative="1">
      <w:start w:val="1"/>
      <w:numFmt w:val="lowerRoman"/>
      <w:lvlText w:val="%3."/>
      <w:lvlJc w:val="right"/>
      <w:pPr>
        <w:ind w:left="3071" w:hanging="180"/>
      </w:pPr>
    </w:lvl>
    <w:lvl w:ilvl="3" w:tplc="0C0A000F" w:tentative="1">
      <w:start w:val="1"/>
      <w:numFmt w:val="decimal"/>
      <w:lvlText w:val="%4."/>
      <w:lvlJc w:val="left"/>
      <w:pPr>
        <w:ind w:left="3791" w:hanging="360"/>
      </w:pPr>
    </w:lvl>
    <w:lvl w:ilvl="4" w:tplc="0C0A0019" w:tentative="1">
      <w:start w:val="1"/>
      <w:numFmt w:val="lowerLetter"/>
      <w:lvlText w:val="%5."/>
      <w:lvlJc w:val="left"/>
      <w:pPr>
        <w:ind w:left="4511" w:hanging="360"/>
      </w:pPr>
    </w:lvl>
    <w:lvl w:ilvl="5" w:tplc="0C0A001B" w:tentative="1">
      <w:start w:val="1"/>
      <w:numFmt w:val="lowerRoman"/>
      <w:lvlText w:val="%6."/>
      <w:lvlJc w:val="right"/>
      <w:pPr>
        <w:ind w:left="5231" w:hanging="180"/>
      </w:pPr>
    </w:lvl>
    <w:lvl w:ilvl="6" w:tplc="0C0A000F" w:tentative="1">
      <w:start w:val="1"/>
      <w:numFmt w:val="decimal"/>
      <w:lvlText w:val="%7."/>
      <w:lvlJc w:val="left"/>
      <w:pPr>
        <w:ind w:left="5951" w:hanging="360"/>
      </w:pPr>
    </w:lvl>
    <w:lvl w:ilvl="7" w:tplc="0C0A0019" w:tentative="1">
      <w:start w:val="1"/>
      <w:numFmt w:val="lowerLetter"/>
      <w:lvlText w:val="%8."/>
      <w:lvlJc w:val="left"/>
      <w:pPr>
        <w:ind w:left="6671" w:hanging="360"/>
      </w:pPr>
    </w:lvl>
    <w:lvl w:ilvl="8" w:tplc="0C0A001B" w:tentative="1">
      <w:start w:val="1"/>
      <w:numFmt w:val="lowerRoman"/>
      <w:lvlText w:val="%9."/>
      <w:lvlJc w:val="right"/>
      <w:pPr>
        <w:ind w:left="7391" w:hanging="180"/>
      </w:pPr>
    </w:lvl>
  </w:abstractNum>
  <w:abstractNum w:abstractNumId="27">
    <w:nsid w:val="707765BE"/>
    <w:multiLevelType w:val="hybridMultilevel"/>
    <w:tmpl w:val="14626B8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76D33D83"/>
    <w:multiLevelType w:val="multilevel"/>
    <w:tmpl w:val="312E40F8"/>
    <w:lvl w:ilvl="0">
      <w:start w:val="2"/>
      <w:numFmt w:val="decimal"/>
      <w:lvlText w:val="%1"/>
      <w:lvlJc w:val="left"/>
      <w:pPr>
        <w:ind w:left="645" w:hanging="64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nsid w:val="76E05267"/>
    <w:multiLevelType w:val="multilevel"/>
    <w:tmpl w:val="DDC0B7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0">
    <w:nsid w:val="786C2204"/>
    <w:multiLevelType w:val="hybridMultilevel"/>
    <w:tmpl w:val="FB823282"/>
    <w:lvl w:ilvl="0" w:tplc="61FEAE02">
      <w:start w:val="1"/>
      <w:numFmt w:val="upp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1">
    <w:nsid w:val="7A736598"/>
    <w:multiLevelType w:val="hybridMultilevel"/>
    <w:tmpl w:val="8DE2927E"/>
    <w:lvl w:ilvl="0" w:tplc="682AAE26">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2">
    <w:nsid w:val="7A9E4DC0"/>
    <w:multiLevelType w:val="hybridMultilevel"/>
    <w:tmpl w:val="6F20AE02"/>
    <w:lvl w:ilvl="0" w:tplc="48D20BDC">
      <w:start w:val="1"/>
      <w:numFmt w:val="decimal"/>
      <w:lvlText w:val="%1."/>
      <w:lvlJc w:val="left"/>
      <w:pPr>
        <w:ind w:left="1069" w:hanging="360"/>
      </w:pPr>
      <w:rPr>
        <w:rFonts w:eastAsia="Calibri" w:hint="default"/>
        <w:color w:val="auto"/>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3">
    <w:nsid w:val="7C786095"/>
    <w:multiLevelType w:val="multilevel"/>
    <w:tmpl w:val="EB469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EDD422C"/>
    <w:multiLevelType w:val="multilevel"/>
    <w:tmpl w:val="581A34B6"/>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148" w:hanging="144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num w:numId="1">
    <w:abstractNumId w:val="34"/>
  </w:num>
  <w:num w:numId="2">
    <w:abstractNumId w:val="22"/>
  </w:num>
  <w:num w:numId="3">
    <w:abstractNumId w:val="17"/>
  </w:num>
  <w:num w:numId="4">
    <w:abstractNumId w:val="18"/>
  </w:num>
  <w:num w:numId="5">
    <w:abstractNumId w:val="0"/>
  </w:num>
  <w:num w:numId="6">
    <w:abstractNumId w:val="11"/>
  </w:num>
  <w:num w:numId="7">
    <w:abstractNumId w:val="23"/>
  </w:num>
  <w:num w:numId="8">
    <w:abstractNumId w:val="15"/>
  </w:num>
  <w:num w:numId="9">
    <w:abstractNumId w:val="2"/>
  </w:num>
  <w:num w:numId="10">
    <w:abstractNumId w:val="13"/>
  </w:num>
  <w:num w:numId="11">
    <w:abstractNumId w:val="30"/>
  </w:num>
  <w:num w:numId="12">
    <w:abstractNumId w:val="20"/>
  </w:num>
  <w:num w:numId="13">
    <w:abstractNumId w:val="7"/>
  </w:num>
  <w:num w:numId="14">
    <w:abstractNumId w:val="8"/>
  </w:num>
  <w:num w:numId="15">
    <w:abstractNumId w:val="21"/>
  </w:num>
  <w:num w:numId="16">
    <w:abstractNumId w:val="4"/>
  </w:num>
  <w:num w:numId="17">
    <w:abstractNumId w:val="33"/>
  </w:num>
  <w:num w:numId="18">
    <w:abstractNumId w:val="6"/>
  </w:num>
  <w:num w:numId="19">
    <w:abstractNumId w:val="16"/>
  </w:num>
  <w:num w:numId="20">
    <w:abstractNumId w:val="25"/>
  </w:num>
  <w:num w:numId="21">
    <w:abstractNumId w:val="29"/>
  </w:num>
  <w:num w:numId="22">
    <w:abstractNumId w:val="12"/>
  </w:num>
  <w:num w:numId="23">
    <w:abstractNumId w:val="3"/>
  </w:num>
  <w:num w:numId="24">
    <w:abstractNumId w:val="28"/>
  </w:num>
  <w:num w:numId="25">
    <w:abstractNumId w:val="31"/>
  </w:num>
  <w:num w:numId="26">
    <w:abstractNumId w:val="9"/>
  </w:num>
  <w:num w:numId="27">
    <w:abstractNumId w:val="1"/>
  </w:num>
  <w:num w:numId="28">
    <w:abstractNumId w:val="5"/>
  </w:num>
  <w:num w:numId="29">
    <w:abstractNumId w:val="27"/>
  </w:num>
  <w:num w:numId="30">
    <w:abstractNumId w:val="24"/>
  </w:num>
  <w:num w:numId="31">
    <w:abstractNumId w:val="32"/>
  </w:num>
  <w:num w:numId="32">
    <w:abstractNumId w:val="10"/>
  </w:num>
  <w:num w:numId="33">
    <w:abstractNumId w:val="26"/>
  </w:num>
  <w:num w:numId="34">
    <w:abstractNumId w:val="19"/>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hideSpellingErrors/>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437"/>
    <w:rsid w:val="00010C83"/>
    <w:rsid w:val="00013BAB"/>
    <w:rsid w:val="00015531"/>
    <w:rsid w:val="00043D05"/>
    <w:rsid w:val="00054221"/>
    <w:rsid w:val="00074298"/>
    <w:rsid w:val="00074D50"/>
    <w:rsid w:val="000801DB"/>
    <w:rsid w:val="000850CD"/>
    <w:rsid w:val="000914EC"/>
    <w:rsid w:val="00097583"/>
    <w:rsid w:val="000A587E"/>
    <w:rsid w:val="000C0625"/>
    <w:rsid w:val="000D2D9F"/>
    <w:rsid w:val="000D4482"/>
    <w:rsid w:val="000D45D8"/>
    <w:rsid w:val="000D730B"/>
    <w:rsid w:val="000E16DF"/>
    <w:rsid w:val="00125A13"/>
    <w:rsid w:val="001463D5"/>
    <w:rsid w:val="00162743"/>
    <w:rsid w:val="00164BA1"/>
    <w:rsid w:val="00196190"/>
    <w:rsid w:val="00196684"/>
    <w:rsid w:val="001B1473"/>
    <w:rsid w:val="001C0B78"/>
    <w:rsid w:val="001C4D9D"/>
    <w:rsid w:val="001C644F"/>
    <w:rsid w:val="001D1795"/>
    <w:rsid w:val="001D2C2F"/>
    <w:rsid w:val="001E73DD"/>
    <w:rsid w:val="001F1C56"/>
    <w:rsid w:val="00200E81"/>
    <w:rsid w:val="002054EE"/>
    <w:rsid w:val="00205D50"/>
    <w:rsid w:val="002157AF"/>
    <w:rsid w:val="002170BD"/>
    <w:rsid w:val="002249D9"/>
    <w:rsid w:val="0024771F"/>
    <w:rsid w:val="002612EF"/>
    <w:rsid w:val="002805EC"/>
    <w:rsid w:val="00297F18"/>
    <w:rsid w:val="002A00A2"/>
    <w:rsid w:val="002A6C34"/>
    <w:rsid w:val="002B1F9D"/>
    <w:rsid w:val="002C3AF9"/>
    <w:rsid w:val="002E4710"/>
    <w:rsid w:val="002E705B"/>
    <w:rsid w:val="002F6932"/>
    <w:rsid w:val="0033426E"/>
    <w:rsid w:val="003564A3"/>
    <w:rsid w:val="00357567"/>
    <w:rsid w:val="003577FE"/>
    <w:rsid w:val="003779E5"/>
    <w:rsid w:val="00382A46"/>
    <w:rsid w:val="003A6B86"/>
    <w:rsid w:val="003C69EF"/>
    <w:rsid w:val="003C72A8"/>
    <w:rsid w:val="003D0C1D"/>
    <w:rsid w:val="003D3437"/>
    <w:rsid w:val="003F0D0E"/>
    <w:rsid w:val="003F7A51"/>
    <w:rsid w:val="00405F52"/>
    <w:rsid w:val="004211A0"/>
    <w:rsid w:val="00436EF0"/>
    <w:rsid w:val="004423DB"/>
    <w:rsid w:val="004437E7"/>
    <w:rsid w:val="00446317"/>
    <w:rsid w:val="0046556B"/>
    <w:rsid w:val="004721B6"/>
    <w:rsid w:val="0047566F"/>
    <w:rsid w:val="00482890"/>
    <w:rsid w:val="00491227"/>
    <w:rsid w:val="00491A8B"/>
    <w:rsid w:val="0049362F"/>
    <w:rsid w:val="004A511A"/>
    <w:rsid w:val="004B0972"/>
    <w:rsid w:val="004B411E"/>
    <w:rsid w:val="004C7778"/>
    <w:rsid w:val="005209A9"/>
    <w:rsid w:val="005275CC"/>
    <w:rsid w:val="00533A68"/>
    <w:rsid w:val="00534F18"/>
    <w:rsid w:val="00553497"/>
    <w:rsid w:val="00563951"/>
    <w:rsid w:val="00564C2F"/>
    <w:rsid w:val="005706AE"/>
    <w:rsid w:val="00585B53"/>
    <w:rsid w:val="00590755"/>
    <w:rsid w:val="005F1283"/>
    <w:rsid w:val="0060289C"/>
    <w:rsid w:val="00604EFC"/>
    <w:rsid w:val="00611446"/>
    <w:rsid w:val="00626D63"/>
    <w:rsid w:val="00634240"/>
    <w:rsid w:val="00665B42"/>
    <w:rsid w:val="00684825"/>
    <w:rsid w:val="006858F3"/>
    <w:rsid w:val="006A3D18"/>
    <w:rsid w:val="006B5100"/>
    <w:rsid w:val="006C4806"/>
    <w:rsid w:val="006D3DEA"/>
    <w:rsid w:val="006E4501"/>
    <w:rsid w:val="006E67B4"/>
    <w:rsid w:val="006F0A61"/>
    <w:rsid w:val="006F23C5"/>
    <w:rsid w:val="006F2A33"/>
    <w:rsid w:val="006F5D1C"/>
    <w:rsid w:val="006F610E"/>
    <w:rsid w:val="006F7130"/>
    <w:rsid w:val="00706199"/>
    <w:rsid w:val="0070661C"/>
    <w:rsid w:val="00711645"/>
    <w:rsid w:val="00712CD2"/>
    <w:rsid w:val="00713812"/>
    <w:rsid w:val="00713EFE"/>
    <w:rsid w:val="007230DA"/>
    <w:rsid w:val="00744E96"/>
    <w:rsid w:val="00761E3F"/>
    <w:rsid w:val="00762E56"/>
    <w:rsid w:val="00776F74"/>
    <w:rsid w:val="00793A36"/>
    <w:rsid w:val="007C4A9D"/>
    <w:rsid w:val="007D28F4"/>
    <w:rsid w:val="007D42AB"/>
    <w:rsid w:val="007D5703"/>
    <w:rsid w:val="007D698A"/>
    <w:rsid w:val="007E5C51"/>
    <w:rsid w:val="007F00F3"/>
    <w:rsid w:val="007F7F25"/>
    <w:rsid w:val="00801C7A"/>
    <w:rsid w:val="00817E92"/>
    <w:rsid w:val="008541FA"/>
    <w:rsid w:val="00855691"/>
    <w:rsid w:val="00866F17"/>
    <w:rsid w:val="00873E16"/>
    <w:rsid w:val="00882AFE"/>
    <w:rsid w:val="00885604"/>
    <w:rsid w:val="008D0079"/>
    <w:rsid w:val="008F321A"/>
    <w:rsid w:val="008F5898"/>
    <w:rsid w:val="009275D0"/>
    <w:rsid w:val="00933C03"/>
    <w:rsid w:val="009353AD"/>
    <w:rsid w:val="00942A71"/>
    <w:rsid w:val="00950A4D"/>
    <w:rsid w:val="0096030C"/>
    <w:rsid w:val="0096396D"/>
    <w:rsid w:val="00975C33"/>
    <w:rsid w:val="00982120"/>
    <w:rsid w:val="009876AF"/>
    <w:rsid w:val="009B358E"/>
    <w:rsid w:val="009B7498"/>
    <w:rsid w:val="009E003D"/>
    <w:rsid w:val="009E7A88"/>
    <w:rsid w:val="009F63DD"/>
    <w:rsid w:val="009F7406"/>
    <w:rsid w:val="00A04F47"/>
    <w:rsid w:val="00A260CE"/>
    <w:rsid w:val="00A50E6A"/>
    <w:rsid w:val="00A57DD8"/>
    <w:rsid w:val="00A62901"/>
    <w:rsid w:val="00A63D38"/>
    <w:rsid w:val="00A72A92"/>
    <w:rsid w:val="00A80223"/>
    <w:rsid w:val="00AA6401"/>
    <w:rsid w:val="00AA745D"/>
    <w:rsid w:val="00AD2D4F"/>
    <w:rsid w:val="00AD4545"/>
    <w:rsid w:val="00AF53E2"/>
    <w:rsid w:val="00B020C4"/>
    <w:rsid w:val="00B03A0C"/>
    <w:rsid w:val="00B16886"/>
    <w:rsid w:val="00B27A03"/>
    <w:rsid w:val="00B3275D"/>
    <w:rsid w:val="00B3399F"/>
    <w:rsid w:val="00B775B2"/>
    <w:rsid w:val="00BA5E13"/>
    <w:rsid w:val="00BC27D3"/>
    <w:rsid w:val="00BC4C44"/>
    <w:rsid w:val="00BC686A"/>
    <w:rsid w:val="00BD7AA6"/>
    <w:rsid w:val="00BE4712"/>
    <w:rsid w:val="00BF1AAD"/>
    <w:rsid w:val="00BF6505"/>
    <w:rsid w:val="00C06F52"/>
    <w:rsid w:val="00C24588"/>
    <w:rsid w:val="00C404B8"/>
    <w:rsid w:val="00C40649"/>
    <w:rsid w:val="00C43D2D"/>
    <w:rsid w:val="00C44E1B"/>
    <w:rsid w:val="00C46B65"/>
    <w:rsid w:val="00C534A5"/>
    <w:rsid w:val="00C56CB2"/>
    <w:rsid w:val="00C6561C"/>
    <w:rsid w:val="00C862F6"/>
    <w:rsid w:val="00C94DAB"/>
    <w:rsid w:val="00C96422"/>
    <w:rsid w:val="00CA041A"/>
    <w:rsid w:val="00CA4A9D"/>
    <w:rsid w:val="00CD2311"/>
    <w:rsid w:val="00CE1EEB"/>
    <w:rsid w:val="00CE3314"/>
    <w:rsid w:val="00CE35A7"/>
    <w:rsid w:val="00CE705D"/>
    <w:rsid w:val="00D25CAC"/>
    <w:rsid w:val="00D31069"/>
    <w:rsid w:val="00D40A0B"/>
    <w:rsid w:val="00D520E4"/>
    <w:rsid w:val="00D53BC6"/>
    <w:rsid w:val="00D759D8"/>
    <w:rsid w:val="00D763CE"/>
    <w:rsid w:val="00D76C2F"/>
    <w:rsid w:val="00D90723"/>
    <w:rsid w:val="00D95C51"/>
    <w:rsid w:val="00DA0090"/>
    <w:rsid w:val="00DA07E3"/>
    <w:rsid w:val="00DC3DDE"/>
    <w:rsid w:val="00DD65D0"/>
    <w:rsid w:val="00DE0A30"/>
    <w:rsid w:val="00DE0E26"/>
    <w:rsid w:val="00DE2CB7"/>
    <w:rsid w:val="00DE33F4"/>
    <w:rsid w:val="00DE3493"/>
    <w:rsid w:val="00DE4DB0"/>
    <w:rsid w:val="00DF2441"/>
    <w:rsid w:val="00E05E4E"/>
    <w:rsid w:val="00E07A7C"/>
    <w:rsid w:val="00E24842"/>
    <w:rsid w:val="00E363C2"/>
    <w:rsid w:val="00E41624"/>
    <w:rsid w:val="00E4173F"/>
    <w:rsid w:val="00E43A02"/>
    <w:rsid w:val="00E54D1E"/>
    <w:rsid w:val="00E576EC"/>
    <w:rsid w:val="00E76A40"/>
    <w:rsid w:val="00E77C0D"/>
    <w:rsid w:val="00E90370"/>
    <w:rsid w:val="00E90D01"/>
    <w:rsid w:val="00E93519"/>
    <w:rsid w:val="00EA5F1B"/>
    <w:rsid w:val="00EC25B5"/>
    <w:rsid w:val="00EC2ADA"/>
    <w:rsid w:val="00EC7971"/>
    <w:rsid w:val="00ED70B8"/>
    <w:rsid w:val="00EE24AC"/>
    <w:rsid w:val="00EF15A0"/>
    <w:rsid w:val="00F0235D"/>
    <w:rsid w:val="00F040A0"/>
    <w:rsid w:val="00F043AC"/>
    <w:rsid w:val="00F04D5E"/>
    <w:rsid w:val="00F228BE"/>
    <w:rsid w:val="00F229BC"/>
    <w:rsid w:val="00F266F6"/>
    <w:rsid w:val="00F31A1C"/>
    <w:rsid w:val="00F468E8"/>
    <w:rsid w:val="00F627E0"/>
    <w:rsid w:val="00F802E1"/>
    <w:rsid w:val="00F86267"/>
    <w:rsid w:val="00F86F6C"/>
    <w:rsid w:val="00FA2F56"/>
    <w:rsid w:val="00FC7E01"/>
    <w:rsid w:val="00FD252A"/>
    <w:rsid w:val="00FD4510"/>
    <w:rsid w:val="00FD650C"/>
    <w:rsid w:val="00FD7A29"/>
    <w:rsid w:val="00FE14DB"/>
    <w:rsid w:val="00FE34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991E4C"/>
  <w15:chartTrackingRefBased/>
  <w15:docId w15:val="{76A29C48-73FC-4A6F-A3F1-32A6B20A8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D3437"/>
    <w:pPr>
      <w:spacing w:after="200" w:line="276" w:lineRule="auto"/>
    </w:pPr>
    <w:rPr>
      <w:rFonts w:ascii="Calibri" w:eastAsia="Calibri" w:hAnsi="Calibri" w:cs="Times New Roman"/>
    </w:rPr>
  </w:style>
  <w:style w:type="paragraph" w:styleId="Ttulo1">
    <w:name w:val="heading 1"/>
    <w:basedOn w:val="Normal"/>
    <w:next w:val="Normal"/>
    <w:link w:val="Ttulo1Char"/>
    <w:uiPriority w:val="9"/>
    <w:qFormat/>
    <w:rsid w:val="003D3437"/>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har"/>
    <w:uiPriority w:val="9"/>
    <w:unhideWhenUsed/>
    <w:qFormat/>
    <w:rsid w:val="003D3437"/>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har"/>
    <w:uiPriority w:val="9"/>
    <w:unhideWhenUsed/>
    <w:qFormat/>
    <w:rsid w:val="003D3437"/>
    <w:pPr>
      <w:keepNext/>
      <w:spacing w:before="240" w:after="60"/>
      <w:outlineLvl w:val="2"/>
    </w:pPr>
    <w:rPr>
      <w:rFonts w:ascii="Calibri Light" w:eastAsia="Times New Roman" w:hAnsi="Calibri Light"/>
      <w:b/>
      <w:bCs/>
      <w:sz w:val="26"/>
      <w:szCs w:val="26"/>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D3437"/>
    <w:rPr>
      <w:rFonts w:ascii="Cambria" w:eastAsia="Times New Roman" w:hAnsi="Cambria" w:cs="Times New Roman"/>
      <w:b/>
      <w:bCs/>
      <w:color w:val="365F91"/>
      <w:sz w:val="28"/>
      <w:szCs w:val="28"/>
    </w:rPr>
  </w:style>
  <w:style w:type="character" w:customStyle="1" w:styleId="Ttulo2Char">
    <w:name w:val="Título 2 Char"/>
    <w:basedOn w:val="Fontepargpadro"/>
    <w:link w:val="Ttulo2"/>
    <w:uiPriority w:val="99"/>
    <w:rsid w:val="003D3437"/>
    <w:rPr>
      <w:rFonts w:ascii="Cambria" w:eastAsia="Times New Roman" w:hAnsi="Cambria" w:cs="Times New Roman"/>
      <w:b/>
      <w:bCs/>
      <w:i/>
      <w:iCs/>
      <w:sz w:val="28"/>
      <w:szCs w:val="28"/>
    </w:rPr>
  </w:style>
  <w:style w:type="character" w:customStyle="1" w:styleId="Ttulo3Char">
    <w:name w:val="Título 3 Char"/>
    <w:basedOn w:val="Fontepargpadro"/>
    <w:link w:val="Ttulo3"/>
    <w:uiPriority w:val="9"/>
    <w:rsid w:val="003D3437"/>
    <w:rPr>
      <w:rFonts w:ascii="Calibri Light" w:eastAsia="Times New Roman" w:hAnsi="Calibri Light" w:cs="Times New Roman"/>
      <w:b/>
      <w:bCs/>
      <w:sz w:val="26"/>
      <w:szCs w:val="26"/>
      <w:lang w:val="pt-PT"/>
    </w:rPr>
  </w:style>
  <w:style w:type="paragraph" w:styleId="Textodenotaderodap">
    <w:name w:val="footnote text"/>
    <w:basedOn w:val="Normal"/>
    <w:link w:val="TextodenotaderodapChar"/>
    <w:uiPriority w:val="99"/>
    <w:unhideWhenUsed/>
    <w:rsid w:val="003D3437"/>
    <w:rPr>
      <w:sz w:val="20"/>
      <w:szCs w:val="20"/>
    </w:rPr>
  </w:style>
  <w:style w:type="character" w:customStyle="1" w:styleId="TextodenotaderodapChar">
    <w:name w:val="Texto de nota de rodapé Char"/>
    <w:basedOn w:val="Fontepargpadro"/>
    <w:link w:val="Textodenotaderodap"/>
    <w:uiPriority w:val="99"/>
    <w:rsid w:val="003D3437"/>
    <w:rPr>
      <w:rFonts w:ascii="Calibri" w:eastAsia="Calibri" w:hAnsi="Calibri" w:cs="Times New Roman"/>
      <w:sz w:val="20"/>
      <w:szCs w:val="20"/>
    </w:rPr>
  </w:style>
  <w:style w:type="character" w:styleId="Refdenotaderodap">
    <w:name w:val="footnote reference"/>
    <w:aliases w:val="Footnote symbol,Footnote,Times 10 Point,Exposant 3 Point"/>
    <w:uiPriority w:val="99"/>
    <w:unhideWhenUsed/>
    <w:qFormat/>
    <w:rsid w:val="003D3437"/>
    <w:rPr>
      <w:vertAlign w:val="superscript"/>
    </w:rPr>
  </w:style>
  <w:style w:type="paragraph" w:styleId="PargrafodaLista">
    <w:name w:val="List Paragraph"/>
    <w:basedOn w:val="Normal"/>
    <w:uiPriority w:val="34"/>
    <w:qFormat/>
    <w:rsid w:val="003D3437"/>
    <w:pPr>
      <w:ind w:left="720"/>
      <w:contextualSpacing/>
    </w:pPr>
  </w:style>
  <w:style w:type="paragraph" w:styleId="CabealhodoSumrio">
    <w:name w:val="TOC Heading"/>
    <w:basedOn w:val="Ttulo1"/>
    <w:next w:val="Normal"/>
    <w:uiPriority w:val="39"/>
    <w:unhideWhenUsed/>
    <w:qFormat/>
    <w:rsid w:val="003D3437"/>
    <w:pPr>
      <w:outlineLvl w:val="9"/>
    </w:pPr>
  </w:style>
  <w:style w:type="paragraph" w:styleId="Sumrio2">
    <w:name w:val="toc 2"/>
    <w:basedOn w:val="Normal"/>
    <w:next w:val="Normal"/>
    <w:autoRedefine/>
    <w:uiPriority w:val="39"/>
    <w:unhideWhenUsed/>
    <w:qFormat/>
    <w:rsid w:val="003D3437"/>
    <w:pPr>
      <w:tabs>
        <w:tab w:val="left" w:pos="0"/>
        <w:tab w:val="left" w:pos="440"/>
        <w:tab w:val="left" w:pos="660"/>
      </w:tabs>
      <w:spacing w:after="100"/>
      <w:jc w:val="both"/>
    </w:pPr>
    <w:rPr>
      <w:rFonts w:eastAsia="Times New Roman"/>
    </w:rPr>
  </w:style>
  <w:style w:type="paragraph" w:styleId="Sumrio1">
    <w:name w:val="toc 1"/>
    <w:basedOn w:val="Normal"/>
    <w:next w:val="Normal"/>
    <w:autoRedefine/>
    <w:uiPriority w:val="39"/>
    <w:unhideWhenUsed/>
    <w:qFormat/>
    <w:rsid w:val="00DF2441"/>
    <w:pPr>
      <w:tabs>
        <w:tab w:val="left" w:pos="0"/>
        <w:tab w:val="right" w:leader="dot" w:pos="9071"/>
      </w:tabs>
      <w:spacing w:after="100"/>
      <w:jc w:val="both"/>
    </w:pPr>
    <w:rPr>
      <w:rFonts w:eastAsia="Times New Roman"/>
    </w:rPr>
  </w:style>
  <w:style w:type="paragraph" w:styleId="Sumrio3">
    <w:name w:val="toc 3"/>
    <w:basedOn w:val="Normal"/>
    <w:next w:val="Normal"/>
    <w:autoRedefine/>
    <w:uiPriority w:val="39"/>
    <w:unhideWhenUsed/>
    <w:qFormat/>
    <w:rsid w:val="003D3437"/>
    <w:pPr>
      <w:tabs>
        <w:tab w:val="left" w:pos="440"/>
        <w:tab w:val="left" w:pos="851"/>
        <w:tab w:val="right" w:leader="dot" w:pos="9071"/>
      </w:tabs>
      <w:spacing w:after="100"/>
      <w:ind w:left="440" w:hanging="440"/>
    </w:pPr>
    <w:rPr>
      <w:rFonts w:eastAsia="Times New Roman"/>
    </w:rPr>
  </w:style>
  <w:style w:type="paragraph" w:styleId="Textodebalo">
    <w:name w:val="Balloon Text"/>
    <w:basedOn w:val="Normal"/>
    <w:link w:val="TextodebaloChar"/>
    <w:uiPriority w:val="99"/>
    <w:semiHidden/>
    <w:unhideWhenUsed/>
    <w:rsid w:val="003D3437"/>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rsid w:val="003D3437"/>
    <w:rPr>
      <w:rFonts w:ascii="Tahoma" w:eastAsia="Calibri" w:hAnsi="Tahoma" w:cs="Times New Roman"/>
      <w:sz w:val="16"/>
      <w:szCs w:val="16"/>
    </w:rPr>
  </w:style>
  <w:style w:type="paragraph" w:styleId="Cabealho">
    <w:name w:val="header"/>
    <w:basedOn w:val="Normal"/>
    <w:link w:val="CabealhoChar"/>
    <w:unhideWhenUsed/>
    <w:rsid w:val="003D3437"/>
    <w:pPr>
      <w:tabs>
        <w:tab w:val="center" w:pos="4252"/>
        <w:tab w:val="right" w:pos="8504"/>
      </w:tabs>
    </w:pPr>
  </w:style>
  <w:style w:type="character" w:customStyle="1" w:styleId="CabealhoChar">
    <w:name w:val="Cabeçalho Char"/>
    <w:basedOn w:val="Fontepargpadro"/>
    <w:link w:val="Cabealho"/>
    <w:uiPriority w:val="99"/>
    <w:rsid w:val="003D3437"/>
    <w:rPr>
      <w:rFonts w:ascii="Calibri" w:eastAsia="Calibri" w:hAnsi="Calibri" w:cs="Times New Roman"/>
    </w:rPr>
  </w:style>
  <w:style w:type="paragraph" w:styleId="Rodap">
    <w:name w:val="footer"/>
    <w:basedOn w:val="Normal"/>
    <w:link w:val="RodapChar"/>
    <w:uiPriority w:val="99"/>
    <w:unhideWhenUsed/>
    <w:rsid w:val="003D3437"/>
    <w:pPr>
      <w:tabs>
        <w:tab w:val="center" w:pos="4252"/>
        <w:tab w:val="right" w:pos="8504"/>
      </w:tabs>
    </w:pPr>
  </w:style>
  <w:style w:type="character" w:customStyle="1" w:styleId="RodapChar">
    <w:name w:val="Rodapé Char"/>
    <w:basedOn w:val="Fontepargpadro"/>
    <w:link w:val="Rodap"/>
    <w:uiPriority w:val="99"/>
    <w:rsid w:val="003D3437"/>
    <w:rPr>
      <w:rFonts w:ascii="Calibri" w:eastAsia="Calibri" w:hAnsi="Calibri" w:cs="Times New Roman"/>
    </w:rPr>
  </w:style>
  <w:style w:type="character" w:styleId="Hiperlink">
    <w:name w:val="Hyperlink"/>
    <w:uiPriority w:val="99"/>
    <w:unhideWhenUsed/>
    <w:rsid w:val="003D3437"/>
    <w:rPr>
      <w:color w:val="0000FF"/>
      <w:u w:val="single"/>
    </w:rPr>
  </w:style>
  <w:style w:type="character" w:styleId="TtulodoLivro">
    <w:name w:val="Book Title"/>
    <w:uiPriority w:val="33"/>
    <w:qFormat/>
    <w:rsid w:val="003D3437"/>
    <w:rPr>
      <w:b/>
      <w:bCs/>
      <w:i/>
      <w:iCs/>
      <w:spacing w:val="5"/>
    </w:rPr>
  </w:style>
  <w:style w:type="paragraph" w:styleId="NormalWeb">
    <w:name w:val="Normal (Web)"/>
    <w:basedOn w:val="Normal"/>
    <w:unhideWhenUsed/>
    <w:rsid w:val="003D3437"/>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pple-converted-space">
    <w:name w:val="apple-converted-space"/>
    <w:rsid w:val="003D3437"/>
  </w:style>
  <w:style w:type="character" w:styleId="Forte">
    <w:name w:val="Strong"/>
    <w:uiPriority w:val="22"/>
    <w:qFormat/>
    <w:rsid w:val="003D3437"/>
    <w:rPr>
      <w:b/>
      <w:bCs/>
    </w:rPr>
  </w:style>
  <w:style w:type="character" w:styleId="NmerodaLinha">
    <w:name w:val="line number"/>
    <w:uiPriority w:val="99"/>
    <w:semiHidden/>
    <w:unhideWhenUsed/>
    <w:rsid w:val="003D3437"/>
  </w:style>
  <w:style w:type="paragraph" w:styleId="Reviso">
    <w:name w:val="Revision"/>
    <w:hidden/>
    <w:uiPriority w:val="99"/>
    <w:semiHidden/>
    <w:rsid w:val="003D3437"/>
    <w:pPr>
      <w:spacing w:after="0" w:line="240" w:lineRule="auto"/>
    </w:pPr>
    <w:rPr>
      <w:rFonts w:ascii="Calibri" w:eastAsia="Calibri" w:hAnsi="Calibri" w:cs="Times New Roman"/>
    </w:rPr>
  </w:style>
  <w:style w:type="paragraph" w:styleId="Pr-formataoHTML">
    <w:name w:val="HTML Preformatted"/>
    <w:basedOn w:val="Normal"/>
    <w:link w:val="Pr-formataoHTMLChar"/>
    <w:uiPriority w:val="99"/>
    <w:unhideWhenUsed/>
    <w:rsid w:val="003D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Verdana" w:eastAsia="Times New Roman" w:hAnsi="Verdana"/>
      <w:sz w:val="20"/>
      <w:szCs w:val="20"/>
    </w:rPr>
  </w:style>
  <w:style w:type="character" w:customStyle="1" w:styleId="Pr-formataoHTMLChar">
    <w:name w:val="Pré-formatação HTML Char"/>
    <w:basedOn w:val="Fontepargpadro"/>
    <w:link w:val="Pr-formataoHTML"/>
    <w:uiPriority w:val="99"/>
    <w:rsid w:val="003D3437"/>
    <w:rPr>
      <w:rFonts w:ascii="Verdana" w:eastAsia="Times New Roman" w:hAnsi="Verdana" w:cs="Times New Roman"/>
      <w:sz w:val="20"/>
      <w:szCs w:val="20"/>
    </w:rPr>
  </w:style>
  <w:style w:type="character" w:customStyle="1" w:styleId="highlightbrs4">
    <w:name w:val="highlightbrs4"/>
    <w:rsid w:val="003D3437"/>
    <w:rPr>
      <w:b/>
      <w:bCs/>
      <w:vanish w:val="0"/>
      <w:webHidden w:val="0"/>
      <w:color w:val="FF0000"/>
      <w:specVanish w:val="0"/>
    </w:rPr>
  </w:style>
  <w:style w:type="character" w:styleId="nfase">
    <w:name w:val="Emphasis"/>
    <w:uiPriority w:val="20"/>
    <w:qFormat/>
    <w:rsid w:val="003D3437"/>
    <w:rPr>
      <w:i/>
      <w:iCs/>
    </w:rPr>
  </w:style>
  <w:style w:type="paragraph" w:customStyle="1" w:styleId="TGC">
    <w:name w:val="TGC"/>
    <w:rsid w:val="003D3437"/>
    <w:pPr>
      <w:widowControl w:val="0"/>
      <w:tabs>
        <w:tab w:val="left" w:pos="567"/>
      </w:tabs>
      <w:spacing w:after="0" w:line="360" w:lineRule="auto"/>
      <w:jc w:val="both"/>
    </w:pPr>
    <w:rPr>
      <w:rFonts w:ascii="Times New Roman" w:eastAsia="Times New Roman" w:hAnsi="Times New Roman" w:cs="Times New Roman"/>
      <w:noProof/>
      <w:sz w:val="24"/>
      <w:szCs w:val="20"/>
      <w:lang w:eastAsia="pt-BR"/>
    </w:rPr>
  </w:style>
  <w:style w:type="character" w:styleId="Refdecomentrio">
    <w:name w:val="annotation reference"/>
    <w:uiPriority w:val="99"/>
    <w:semiHidden/>
    <w:unhideWhenUsed/>
    <w:rsid w:val="003D3437"/>
    <w:rPr>
      <w:sz w:val="16"/>
      <w:szCs w:val="16"/>
    </w:rPr>
  </w:style>
  <w:style w:type="paragraph" w:styleId="Textodecomentrio">
    <w:name w:val="annotation text"/>
    <w:basedOn w:val="Normal"/>
    <w:link w:val="TextodecomentrioChar"/>
    <w:uiPriority w:val="99"/>
    <w:semiHidden/>
    <w:unhideWhenUsed/>
    <w:rsid w:val="003D3437"/>
    <w:rPr>
      <w:sz w:val="20"/>
      <w:szCs w:val="20"/>
    </w:rPr>
  </w:style>
  <w:style w:type="character" w:customStyle="1" w:styleId="TextodecomentrioChar">
    <w:name w:val="Texto de comentário Char"/>
    <w:basedOn w:val="Fontepargpadro"/>
    <w:link w:val="Textodecomentrio"/>
    <w:uiPriority w:val="99"/>
    <w:semiHidden/>
    <w:rsid w:val="003D3437"/>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3D3437"/>
    <w:rPr>
      <w:b/>
      <w:bCs/>
    </w:rPr>
  </w:style>
  <w:style w:type="character" w:customStyle="1" w:styleId="AssuntodocomentrioChar">
    <w:name w:val="Assunto do comentário Char"/>
    <w:basedOn w:val="TextodecomentrioChar"/>
    <w:link w:val="Assuntodocomentrio"/>
    <w:uiPriority w:val="99"/>
    <w:semiHidden/>
    <w:rsid w:val="003D3437"/>
    <w:rPr>
      <w:rFonts w:ascii="Calibri" w:eastAsia="Calibri" w:hAnsi="Calibri" w:cs="Times New Roman"/>
      <w:b/>
      <w:bCs/>
      <w:sz w:val="20"/>
      <w:szCs w:val="20"/>
    </w:rPr>
  </w:style>
  <w:style w:type="paragraph" w:styleId="SemEspaamento">
    <w:name w:val="No Spacing"/>
    <w:uiPriority w:val="1"/>
    <w:qFormat/>
    <w:rsid w:val="003D3437"/>
    <w:pPr>
      <w:spacing w:after="0" w:line="240" w:lineRule="auto"/>
    </w:pPr>
    <w:rPr>
      <w:rFonts w:ascii="Calibri" w:eastAsia="Calibri" w:hAnsi="Calibri" w:cs="Times New Roman"/>
    </w:rPr>
  </w:style>
  <w:style w:type="character" w:customStyle="1" w:styleId="bylinename">
    <w:name w:val="byline__name"/>
    <w:basedOn w:val="Fontepargpadro"/>
    <w:rsid w:val="003D3437"/>
  </w:style>
  <w:style w:type="paragraph" w:customStyle="1" w:styleId="paragnormal">
    <w:name w:val="paragnormal"/>
    <w:basedOn w:val="Normal"/>
    <w:rsid w:val="003D3437"/>
    <w:pPr>
      <w:spacing w:before="100" w:beforeAutospacing="1" w:after="100" w:afterAutospacing="1" w:line="240" w:lineRule="auto"/>
    </w:pPr>
    <w:rPr>
      <w:rFonts w:ascii="Times New Roman" w:eastAsia="Times New Roman" w:hAnsi="Times New Roman"/>
      <w:sz w:val="24"/>
      <w:szCs w:val="24"/>
      <w:lang w:eastAsia="pt-BR"/>
    </w:rPr>
  </w:style>
  <w:style w:type="character" w:styleId="HiperlinkVisitado">
    <w:name w:val="FollowedHyperlink"/>
    <w:basedOn w:val="Fontepargpadro"/>
    <w:uiPriority w:val="99"/>
    <w:semiHidden/>
    <w:unhideWhenUsed/>
    <w:rsid w:val="003D3437"/>
    <w:rPr>
      <w:color w:val="800080"/>
      <w:u w:val="single"/>
    </w:rPr>
  </w:style>
  <w:style w:type="character" w:customStyle="1" w:styleId="Meno1">
    <w:name w:val="Menção1"/>
    <w:basedOn w:val="Fontepargpadro"/>
    <w:uiPriority w:val="99"/>
    <w:semiHidden/>
    <w:unhideWhenUsed/>
    <w:rsid w:val="003D3437"/>
    <w:rPr>
      <w:color w:val="2B579A"/>
      <w:shd w:val="clear" w:color="auto" w:fill="E6E6E6"/>
    </w:rPr>
  </w:style>
  <w:style w:type="paragraph" w:customStyle="1" w:styleId="optxtp">
    <w:name w:val="op_txt_p"/>
    <w:basedOn w:val="Normal"/>
    <w:rsid w:val="003D3437"/>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s7d2086b4">
    <w:name w:val="s7d2086b4"/>
    <w:basedOn w:val="Fontepargpadro"/>
    <w:rsid w:val="003D3437"/>
  </w:style>
  <w:style w:type="character" w:customStyle="1" w:styleId="MenoPendente1">
    <w:name w:val="Menção Pendente1"/>
    <w:basedOn w:val="Fontepargpadro"/>
    <w:uiPriority w:val="99"/>
    <w:semiHidden/>
    <w:unhideWhenUsed/>
    <w:rsid w:val="003D3437"/>
    <w:rPr>
      <w:color w:val="808080"/>
      <w:shd w:val="clear" w:color="auto" w:fill="E6E6E6"/>
    </w:rPr>
  </w:style>
  <w:style w:type="paragraph" w:styleId="Corpodetexto">
    <w:name w:val="Body Text"/>
    <w:basedOn w:val="Normal"/>
    <w:link w:val="CorpodetextoChar"/>
    <w:uiPriority w:val="99"/>
    <w:unhideWhenUsed/>
    <w:rsid w:val="003D3437"/>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uiPriority w:val="99"/>
    <w:rsid w:val="003D3437"/>
    <w:rPr>
      <w:rFonts w:ascii="Times New Roman" w:eastAsia="Times New Roman" w:hAnsi="Times New Roman" w:cs="Times New Roman"/>
      <w:sz w:val="24"/>
      <w:szCs w:val="24"/>
      <w:lang w:eastAsia="pt-BR"/>
    </w:rPr>
  </w:style>
  <w:style w:type="character" w:customStyle="1" w:styleId="Mencinsinresolver1">
    <w:name w:val="Mención sin resolver1"/>
    <w:basedOn w:val="Fontepargpadro"/>
    <w:uiPriority w:val="99"/>
    <w:semiHidden/>
    <w:unhideWhenUsed/>
    <w:rsid w:val="00AA745D"/>
    <w:rPr>
      <w:color w:val="808080"/>
      <w:shd w:val="clear" w:color="auto" w:fill="E6E6E6"/>
    </w:rPr>
  </w:style>
  <w:style w:type="character" w:customStyle="1" w:styleId="alt-edited">
    <w:name w:val="alt-edited"/>
    <w:basedOn w:val="Fontepargpadro"/>
    <w:rsid w:val="0049362F"/>
  </w:style>
  <w:style w:type="character" w:customStyle="1" w:styleId="hvr">
    <w:name w:val="hvr"/>
    <w:basedOn w:val="Fontepargpadro"/>
    <w:rsid w:val="001B1473"/>
  </w:style>
  <w:style w:type="character" w:styleId="CitaoHTML">
    <w:name w:val="HTML Cite"/>
    <w:rsid w:val="00DE0A30"/>
    <w:rPr>
      <w:rFonts w:cs="Times New Roman"/>
      <w:i/>
      <w:iCs/>
    </w:rPr>
  </w:style>
  <w:style w:type="paragraph" w:customStyle="1" w:styleId="Default">
    <w:name w:val="Default"/>
    <w:rsid w:val="00DE0A30"/>
    <w:pPr>
      <w:autoSpaceDE w:val="0"/>
      <w:autoSpaceDN w:val="0"/>
      <w:adjustRightInd w:val="0"/>
      <w:spacing w:after="0" w:line="240" w:lineRule="auto"/>
      <w:jc w:val="both"/>
    </w:pPr>
    <w:rPr>
      <w:rFonts w:ascii="Arial" w:eastAsia="Times New Roman" w:hAnsi="Arial" w:cs="Arial"/>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148852">
      <w:bodyDiv w:val="1"/>
      <w:marLeft w:val="0"/>
      <w:marRight w:val="0"/>
      <w:marTop w:val="0"/>
      <w:marBottom w:val="0"/>
      <w:divBdr>
        <w:top w:val="none" w:sz="0" w:space="0" w:color="auto"/>
        <w:left w:val="none" w:sz="0" w:space="0" w:color="auto"/>
        <w:bottom w:val="none" w:sz="0" w:space="0" w:color="auto"/>
        <w:right w:val="none" w:sz="0" w:space="0" w:color="auto"/>
      </w:divBdr>
    </w:div>
    <w:div w:id="160853108">
      <w:bodyDiv w:val="1"/>
      <w:marLeft w:val="0"/>
      <w:marRight w:val="0"/>
      <w:marTop w:val="0"/>
      <w:marBottom w:val="0"/>
      <w:divBdr>
        <w:top w:val="none" w:sz="0" w:space="0" w:color="auto"/>
        <w:left w:val="none" w:sz="0" w:space="0" w:color="auto"/>
        <w:bottom w:val="none" w:sz="0" w:space="0" w:color="auto"/>
        <w:right w:val="none" w:sz="0" w:space="0" w:color="auto"/>
      </w:divBdr>
    </w:div>
    <w:div w:id="292640646">
      <w:bodyDiv w:val="1"/>
      <w:marLeft w:val="0"/>
      <w:marRight w:val="0"/>
      <w:marTop w:val="0"/>
      <w:marBottom w:val="0"/>
      <w:divBdr>
        <w:top w:val="none" w:sz="0" w:space="0" w:color="auto"/>
        <w:left w:val="none" w:sz="0" w:space="0" w:color="auto"/>
        <w:bottom w:val="none" w:sz="0" w:space="0" w:color="auto"/>
        <w:right w:val="none" w:sz="0" w:space="0" w:color="auto"/>
      </w:divBdr>
    </w:div>
    <w:div w:id="480196982">
      <w:bodyDiv w:val="1"/>
      <w:marLeft w:val="0"/>
      <w:marRight w:val="0"/>
      <w:marTop w:val="0"/>
      <w:marBottom w:val="0"/>
      <w:divBdr>
        <w:top w:val="none" w:sz="0" w:space="0" w:color="auto"/>
        <w:left w:val="none" w:sz="0" w:space="0" w:color="auto"/>
        <w:bottom w:val="none" w:sz="0" w:space="0" w:color="auto"/>
        <w:right w:val="none" w:sz="0" w:space="0" w:color="auto"/>
      </w:divBdr>
    </w:div>
    <w:div w:id="505555042">
      <w:bodyDiv w:val="1"/>
      <w:marLeft w:val="0"/>
      <w:marRight w:val="0"/>
      <w:marTop w:val="0"/>
      <w:marBottom w:val="0"/>
      <w:divBdr>
        <w:top w:val="none" w:sz="0" w:space="0" w:color="auto"/>
        <w:left w:val="none" w:sz="0" w:space="0" w:color="auto"/>
        <w:bottom w:val="none" w:sz="0" w:space="0" w:color="auto"/>
        <w:right w:val="none" w:sz="0" w:space="0" w:color="auto"/>
      </w:divBdr>
    </w:div>
    <w:div w:id="556745030">
      <w:bodyDiv w:val="1"/>
      <w:marLeft w:val="0"/>
      <w:marRight w:val="0"/>
      <w:marTop w:val="0"/>
      <w:marBottom w:val="0"/>
      <w:divBdr>
        <w:top w:val="none" w:sz="0" w:space="0" w:color="auto"/>
        <w:left w:val="none" w:sz="0" w:space="0" w:color="auto"/>
        <w:bottom w:val="none" w:sz="0" w:space="0" w:color="auto"/>
        <w:right w:val="none" w:sz="0" w:space="0" w:color="auto"/>
      </w:divBdr>
    </w:div>
    <w:div w:id="560291006">
      <w:bodyDiv w:val="1"/>
      <w:marLeft w:val="0"/>
      <w:marRight w:val="0"/>
      <w:marTop w:val="0"/>
      <w:marBottom w:val="0"/>
      <w:divBdr>
        <w:top w:val="none" w:sz="0" w:space="0" w:color="auto"/>
        <w:left w:val="none" w:sz="0" w:space="0" w:color="auto"/>
        <w:bottom w:val="none" w:sz="0" w:space="0" w:color="auto"/>
        <w:right w:val="none" w:sz="0" w:space="0" w:color="auto"/>
      </w:divBdr>
    </w:div>
    <w:div w:id="628628869">
      <w:bodyDiv w:val="1"/>
      <w:marLeft w:val="0"/>
      <w:marRight w:val="0"/>
      <w:marTop w:val="0"/>
      <w:marBottom w:val="0"/>
      <w:divBdr>
        <w:top w:val="none" w:sz="0" w:space="0" w:color="auto"/>
        <w:left w:val="none" w:sz="0" w:space="0" w:color="auto"/>
        <w:bottom w:val="none" w:sz="0" w:space="0" w:color="auto"/>
        <w:right w:val="none" w:sz="0" w:space="0" w:color="auto"/>
      </w:divBdr>
    </w:div>
    <w:div w:id="653264786">
      <w:bodyDiv w:val="1"/>
      <w:marLeft w:val="0"/>
      <w:marRight w:val="0"/>
      <w:marTop w:val="0"/>
      <w:marBottom w:val="0"/>
      <w:divBdr>
        <w:top w:val="none" w:sz="0" w:space="0" w:color="auto"/>
        <w:left w:val="none" w:sz="0" w:space="0" w:color="auto"/>
        <w:bottom w:val="none" w:sz="0" w:space="0" w:color="auto"/>
        <w:right w:val="none" w:sz="0" w:space="0" w:color="auto"/>
      </w:divBdr>
    </w:div>
    <w:div w:id="791484884">
      <w:bodyDiv w:val="1"/>
      <w:marLeft w:val="0"/>
      <w:marRight w:val="0"/>
      <w:marTop w:val="0"/>
      <w:marBottom w:val="0"/>
      <w:divBdr>
        <w:top w:val="none" w:sz="0" w:space="0" w:color="auto"/>
        <w:left w:val="none" w:sz="0" w:space="0" w:color="auto"/>
        <w:bottom w:val="none" w:sz="0" w:space="0" w:color="auto"/>
        <w:right w:val="none" w:sz="0" w:space="0" w:color="auto"/>
      </w:divBdr>
    </w:div>
    <w:div w:id="799080914">
      <w:bodyDiv w:val="1"/>
      <w:marLeft w:val="0"/>
      <w:marRight w:val="0"/>
      <w:marTop w:val="0"/>
      <w:marBottom w:val="0"/>
      <w:divBdr>
        <w:top w:val="none" w:sz="0" w:space="0" w:color="auto"/>
        <w:left w:val="none" w:sz="0" w:space="0" w:color="auto"/>
        <w:bottom w:val="none" w:sz="0" w:space="0" w:color="auto"/>
        <w:right w:val="none" w:sz="0" w:space="0" w:color="auto"/>
      </w:divBdr>
      <w:divsChild>
        <w:div w:id="2136561007">
          <w:marLeft w:val="60"/>
          <w:marRight w:val="0"/>
          <w:marTop w:val="0"/>
          <w:marBottom w:val="0"/>
          <w:divBdr>
            <w:top w:val="none" w:sz="0" w:space="0" w:color="auto"/>
            <w:left w:val="none" w:sz="0" w:space="0" w:color="auto"/>
            <w:bottom w:val="none" w:sz="0" w:space="0" w:color="auto"/>
            <w:right w:val="none" w:sz="0" w:space="0" w:color="auto"/>
          </w:divBdr>
          <w:divsChild>
            <w:div w:id="1741976934">
              <w:marLeft w:val="0"/>
              <w:marRight w:val="0"/>
              <w:marTop w:val="0"/>
              <w:marBottom w:val="0"/>
              <w:divBdr>
                <w:top w:val="none" w:sz="0" w:space="0" w:color="auto"/>
                <w:left w:val="none" w:sz="0" w:space="0" w:color="auto"/>
                <w:bottom w:val="none" w:sz="0" w:space="0" w:color="auto"/>
                <w:right w:val="none" w:sz="0" w:space="0" w:color="auto"/>
              </w:divBdr>
              <w:divsChild>
                <w:div w:id="897665629">
                  <w:marLeft w:val="0"/>
                  <w:marRight w:val="0"/>
                  <w:marTop w:val="0"/>
                  <w:marBottom w:val="120"/>
                  <w:divBdr>
                    <w:top w:val="single" w:sz="6" w:space="0" w:color="F5F5F5"/>
                    <w:left w:val="single" w:sz="6" w:space="0" w:color="F5F5F5"/>
                    <w:bottom w:val="single" w:sz="6" w:space="0" w:color="F5F5F5"/>
                    <w:right w:val="single" w:sz="6" w:space="0" w:color="F5F5F5"/>
                  </w:divBdr>
                  <w:divsChild>
                    <w:div w:id="1464545828">
                      <w:marLeft w:val="0"/>
                      <w:marRight w:val="0"/>
                      <w:marTop w:val="0"/>
                      <w:marBottom w:val="0"/>
                      <w:divBdr>
                        <w:top w:val="none" w:sz="0" w:space="0" w:color="auto"/>
                        <w:left w:val="none" w:sz="0" w:space="0" w:color="auto"/>
                        <w:bottom w:val="none" w:sz="0" w:space="0" w:color="auto"/>
                        <w:right w:val="none" w:sz="0" w:space="0" w:color="auto"/>
                      </w:divBdr>
                      <w:divsChild>
                        <w:div w:id="156501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994222">
      <w:bodyDiv w:val="1"/>
      <w:marLeft w:val="0"/>
      <w:marRight w:val="0"/>
      <w:marTop w:val="0"/>
      <w:marBottom w:val="0"/>
      <w:divBdr>
        <w:top w:val="none" w:sz="0" w:space="0" w:color="auto"/>
        <w:left w:val="none" w:sz="0" w:space="0" w:color="auto"/>
        <w:bottom w:val="none" w:sz="0" w:space="0" w:color="auto"/>
        <w:right w:val="none" w:sz="0" w:space="0" w:color="auto"/>
      </w:divBdr>
    </w:div>
    <w:div w:id="1060328555">
      <w:bodyDiv w:val="1"/>
      <w:marLeft w:val="0"/>
      <w:marRight w:val="0"/>
      <w:marTop w:val="0"/>
      <w:marBottom w:val="0"/>
      <w:divBdr>
        <w:top w:val="none" w:sz="0" w:space="0" w:color="auto"/>
        <w:left w:val="none" w:sz="0" w:space="0" w:color="auto"/>
        <w:bottom w:val="none" w:sz="0" w:space="0" w:color="auto"/>
        <w:right w:val="none" w:sz="0" w:space="0" w:color="auto"/>
      </w:divBdr>
    </w:div>
    <w:div w:id="1212838280">
      <w:bodyDiv w:val="1"/>
      <w:marLeft w:val="0"/>
      <w:marRight w:val="0"/>
      <w:marTop w:val="0"/>
      <w:marBottom w:val="0"/>
      <w:divBdr>
        <w:top w:val="none" w:sz="0" w:space="0" w:color="auto"/>
        <w:left w:val="none" w:sz="0" w:space="0" w:color="auto"/>
        <w:bottom w:val="none" w:sz="0" w:space="0" w:color="auto"/>
        <w:right w:val="none" w:sz="0" w:space="0" w:color="auto"/>
      </w:divBdr>
    </w:div>
    <w:div w:id="1426226017">
      <w:bodyDiv w:val="1"/>
      <w:marLeft w:val="0"/>
      <w:marRight w:val="0"/>
      <w:marTop w:val="0"/>
      <w:marBottom w:val="0"/>
      <w:divBdr>
        <w:top w:val="none" w:sz="0" w:space="0" w:color="auto"/>
        <w:left w:val="none" w:sz="0" w:space="0" w:color="auto"/>
        <w:bottom w:val="none" w:sz="0" w:space="0" w:color="auto"/>
        <w:right w:val="none" w:sz="0" w:space="0" w:color="auto"/>
      </w:divBdr>
    </w:div>
    <w:div w:id="1640768925">
      <w:bodyDiv w:val="1"/>
      <w:marLeft w:val="0"/>
      <w:marRight w:val="0"/>
      <w:marTop w:val="0"/>
      <w:marBottom w:val="0"/>
      <w:divBdr>
        <w:top w:val="none" w:sz="0" w:space="0" w:color="auto"/>
        <w:left w:val="none" w:sz="0" w:space="0" w:color="auto"/>
        <w:bottom w:val="none" w:sz="0" w:space="0" w:color="auto"/>
        <w:right w:val="none" w:sz="0" w:space="0" w:color="auto"/>
      </w:divBdr>
    </w:div>
    <w:div w:id="1644197581">
      <w:bodyDiv w:val="1"/>
      <w:marLeft w:val="0"/>
      <w:marRight w:val="0"/>
      <w:marTop w:val="0"/>
      <w:marBottom w:val="0"/>
      <w:divBdr>
        <w:top w:val="none" w:sz="0" w:space="0" w:color="auto"/>
        <w:left w:val="none" w:sz="0" w:space="0" w:color="auto"/>
        <w:bottom w:val="none" w:sz="0" w:space="0" w:color="auto"/>
        <w:right w:val="none" w:sz="0" w:space="0" w:color="auto"/>
      </w:divBdr>
    </w:div>
    <w:div w:id="1664888311">
      <w:bodyDiv w:val="1"/>
      <w:marLeft w:val="0"/>
      <w:marRight w:val="0"/>
      <w:marTop w:val="0"/>
      <w:marBottom w:val="0"/>
      <w:divBdr>
        <w:top w:val="none" w:sz="0" w:space="0" w:color="auto"/>
        <w:left w:val="none" w:sz="0" w:space="0" w:color="auto"/>
        <w:bottom w:val="none" w:sz="0" w:space="0" w:color="auto"/>
        <w:right w:val="none" w:sz="0" w:space="0" w:color="auto"/>
      </w:divBdr>
    </w:div>
    <w:div w:id="1703554964">
      <w:bodyDiv w:val="1"/>
      <w:marLeft w:val="0"/>
      <w:marRight w:val="0"/>
      <w:marTop w:val="0"/>
      <w:marBottom w:val="0"/>
      <w:divBdr>
        <w:top w:val="none" w:sz="0" w:space="0" w:color="auto"/>
        <w:left w:val="none" w:sz="0" w:space="0" w:color="auto"/>
        <w:bottom w:val="none" w:sz="0" w:space="0" w:color="auto"/>
        <w:right w:val="none" w:sz="0" w:space="0" w:color="auto"/>
      </w:divBdr>
    </w:div>
    <w:div w:id="1731073324">
      <w:bodyDiv w:val="1"/>
      <w:marLeft w:val="0"/>
      <w:marRight w:val="0"/>
      <w:marTop w:val="0"/>
      <w:marBottom w:val="0"/>
      <w:divBdr>
        <w:top w:val="none" w:sz="0" w:space="0" w:color="auto"/>
        <w:left w:val="none" w:sz="0" w:space="0" w:color="auto"/>
        <w:bottom w:val="none" w:sz="0" w:space="0" w:color="auto"/>
        <w:right w:val="none" w:sz="0" w:space="0" w:color="auto"/>
      </w:divBdr>
    </w:div>
    <w:div w:id="1793590825">
      <w:bodyDiv w:val="1"/>
      <w:marLeft w:val="0"/>
      <w:marRight w:val="0"/>
      <w:marTop w:val="0"/>
      <w:marBottom w:val="0"/>
      <w:divBdr>
        <w:top w:val="none" w:sz="0" w:space="0" w:color="auto"/>
        <w:left w:val="none" w:sz="0" w:space="0" w:color="auto"/>
        <w:bottom w:val="none" w:sz="0" w:space="0" w:color="auto"/>
        <w:right w:val="none" w:sz="0" w:space="0" w:color="auto"/>
      </w:divBdr>
      <w:divsChild>
        <w:div w:id="1899508674">
          <w:marLeft w:val="0"/>
          <w:marRight w:val="60"/>
          <w:marTop w:val="0"/>
          <w:marBottom w:val="0"/>
          <w:divBdr>
            <w:top w:val="none" w:sz="0" w:space="0" w:color="auto"/>
            <w:left w:val="none" w:sz="0" w:space="0" w:color="auto"/>
            <w:bottom w:val="none" w:sz="0" w:space="0" w:color="auto"/>
            <w:right w:val="none" w:sz="0" w:space="0" w:color="auto"/>
          </w:divBdr>
          <w:divsChild>
            <w:div w:id="1692486804">
              <w:marLeft w:val="0"/>
              <w:marRight w:val="0"/>
              <w:marTop w:val="0"/>
              <w:marBottom w:val="120"/>
              <w:divBdr>
                <w:top w:val="single" w:sz="6" w:space="0" w:color="C0C0C0"/>
                <w:left w:val="single" w:sz="6" w:space="0" w:color="D9D9D9"/>
                <w:bottom w:val="single" w:sz="6" w:space="0" w:color="D9D9D9"/>
                <w:right w:val="single" w:sz="6" w:space="0" w:color="D9D9D9"/>
              </w:divBdr>
              <w:divsChild>
                <w:div w:id="337199268">
                  <w:marLeft w:val="0"/>
                  <w:marRight w:val="0"/>
                  <w:marTop w:val="0"/>
                  <w:marBottom w:val="0"/>
                  <w:divBdr>
                    <w:top w:val="none" w:sz="0" w:space="0" w:color="auto"/>
                    <w:left w:val="none" w:sz="0" w:space="0" w:color="auto"/>
                    <w:bottom w:val="none" w:sz="0" w:space="0" w:color="auto"/>
                    <w:right w:val="none" w:sz="0" w:space="0" w:color="auto"/>
                  </w:divBdr>
                </w:div>
                <w:div w:id="193570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74343">
          <w:marLeft w:val="60"/>
          <w:marRight w:val="0"/>
          <w:marTop w:val="0"/>
          <w:marBottom w:val="0"/>
          <w:divBdr>
            <w:top w:val="none" w:sz="0" w:space="0" w:color="auto"/>
            <w:left w:val="none" w:sz="0" w:space="0" w:color="auto"/>
            <w:bottom w:val="none" w:sz="0" w:space="0" w:color="auto"/>
            <w:right w:val="none" w:sz="0" w:space="0" w:color="auto"/>
          </w:divBdr>
          <w:divsChild>
            <w:div w:id="141312178">
              <w:marLeft w:val="0"/>
              <w:marRight w:val="0"/>
              <w:marTop w:val="0"/>
              <w:marBottom w:val="0"/>
              <w:divBdr>
                <w:top w:val="none" w:sz="0" w:space="0" w:color="auto"/>
                <w:left w:val="none" w:sz="0" w:space="0" w:color="auto"/>
                <w:bottom w:val="none" w:sz="0" w:space="0" w:color="auto"/>
                <w:right w:val="none" w:sz="0" w:space="0" w:color="auto"/>
              </w:divBdr>
              <w:divsChild>
                <w:div w:id="133915345">
                  <w:marLeft w:val="0"/>
                  <w:marRight w:val="0"/>
                  <w:marTop w:val="0"/>
                  <w:marBottom w:val="120"/>
                  <w:divBdr>
                    <w:top w:val="single" w:sz="6" w:space="0" w:color="F5F5F5"/>
                    <w:left w:val="single" w:sz="6" w:space="0" w:color="F5F5F5"/>
                    <w:bottom w:val="single" w:sz="6" w:space="0" w:color="F5F5F5"/>
                    <w:right w:val="single" w:sz="6" w:space="0" w:color="F5F5F5"/>
                  </w:divBdr>
                  <w:divsChild>
                    <w:div w:id="745611353">
                      <w:marLeft w:val="0"/>
                      <w:marRight w:val="0"/>
                      <w:marTop w:val="0"/>
                      <w:marBottom w:val="0"/>
                      <w:divBdr>
                        <w:top w:val="none" w:sz="0" w:space="0" w:color="auto"/>
                        <w:left w:val="none" w:sz="0" w:space="0" w:color="auto"/>
                        <w:bottom w:val="none" w:sz="0" w:space="0" w:color="auto"/>
                        <w:right w:val="none" w:sz="0" w:space="0" w:color="auto"/>
                      </w:divBdr>
                      <w:divsChild>
                        <w:div w:id="67642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575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4401DEA0-ABF9-394C-A74D-0C7B439AF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7169</Words>
  <Characters>41009</Characters>
  <Application>Microsoft Macintosh Word</Application>
  <DocSecurity>0</DocSecurity>
  <Lines>836</Lines>
  <Paragraphs>142</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48036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Tássia A. Gervasoni</cp:lastModifiedBy>
  <cp:revision>3</cp:revision>
  <cp:lastPrinted>2017-10-05T19:28:00Z</cp:lastPrinted>
  <dcterms:created xsi:type="dcterms:W3CDTF">2020-12-17T17:47:00Z</dcterms:created>
  <dcterms:modified xsi:type="dcterms:W3CDTF">2020-12-17T17:49:00Z</dcterms:modified>
  <cp:category/>
</cp:coreProperties>
</file>